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E6F63F" w14:textId="77777777" w:rsidR="00685FD7" w:rsidRDefault="00685FD7" w:rsidP="00386B9B">
      <w:pPr>
        <w:rPr>
          <w:rFonts w:cs="Calibri"/>
          <w:color w:val="auto"/>
          <w:sz w:val="36"/>
          <w:szCs w:val="36"/>
        </w:rPr>
      </w:pPr>
      <w:r>
        <w:rPr>
          <w:noProof/>
        </w:rPr>
        <w:drawing>
          <wp:inline distT="0" distB="0" distL="0" distR="0" wp14:anchorId="4645E877" wp14:editId="02F3E6AA">
            <wp:extent cx="1914525" cy="584092"/>
            <wp:effectExtent l="0" t="0" r="0" b="698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839" cy="588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196AA" w14:textId="77777777" w:rsidR="00685FD7" w:rsidRDefault="00685FD7" w:rsidP="00386B9B">
      <w:pPr>
        <w:rPr>
          <w:rFonts w:cs="Calibri"/>
          <w:color w:val="auto"/>
          <w:sz w:val="36"/>
          <w:szCs w:val="36"/>
        </w:rPr>
      </w:pPr>
    </w:p>
    <w:p w14:paraId="7C7DF868" w14:textId="77777777" w:rsidR="00A32377" w:rsidRPr="006C63C4" w:rsidRDefault="008F12F7" w:rsidP="006C63C4">
      <w:pPr>
        <w:jc w:val="center"/>
        <w:rPr>
          <w:rFonts w:ascii="Arial Narrow" w:hAnsi="Arial Narrow" w:cs="Calibri"/>
          <w:color w:val="auto"/>
          <w:sz w:val="36"/>
          <w:szCs w:val="36"/>
        </w:rPr>
      </w:pPr>
      <w:r w:rsidRPr="006C63C4">
        <w:rPr>
          <w:rFonts w:ascii="Arial Narrow" w:hAnsi="Arial Narrow" w:cs="Calibri"/>
          <w:color w:val="auto"/>
          <w:sz w:val="36"/>
          <w:szCs w:val="36"/>
        </w:rPr>
        <w:t xml:space="preserve">BANCA DI CREDITO COOPERATIVO DI </w:t>
      </w:r>
      <w:r w:rsidR="00685FD7" w:rsidRPr="006C63C4">
        <w:rPr>
          <w:rFonts w:ascii="Arial Narrow" w:hAnsi="Arial Narrow" w:cs="Calibri"/>
          <w:color w:val="auto"/>
          <w:sz w:val="36"/>
          <w:szCs w:val="36"/>
        </w:rPr>
        <w:t>OSTRA VETERE</w:t>
      </w:r>
    </w:p>
    <w:p w14:paraId="07AFA957" w14:textId="77777777" w:rsidR="00A32377" w:rsidRDefault="00A32377" w:rsidP="00386B9B">
      <w:pPr>
        <w:rPr>
          <w:rFonts w:ascii="Arial Narrow" w:hAnsi="Arial Narrow" w:cs="Arial"/>
          <w:b/>
          <w:color w:val="00000A"/>
        </w:rPr>
      </w:pPr>
    </w:p>
    <w:p w14:paraId="7900364F" w14:textId="77777777" w:rsidR="00532B71" w:rsidRDefault="00A32377" w:rsidP="00A32377">
      <w:pPr>
        <w:jc w:val="center"/>
        <w:rPr>
          <w:rFonts w:ascii="Arial Narrow" w:hAnsi="Arial Narrow" w:cs="Arial"/>
          <w:b/>
          <w:color w:val="00000A"/>
        </w:rPr>
      </w:pPr>
      <w:r>
        <w:rPr>
          <w:rFonts w:ascii="Arial Narrow" w:hAnsi="Arial Narrow" w:cs="Arial"/>
          <w:b/>
          <w:color w:val="00000A"/>
        </w:rPr>
        <w:t xml:space="preserve">COMMENTI </w:t>
      </w:r>
      <w:r w:rsidR="00532B71" w:rsidRPr="00EF4172">
        <w:rPr>
          <w:rFonts w:ascii="Arial Narrow" w:hAnsi="Arial Narrow" w:cs="Arial"/>
          <w:b/>
          <w:color w:val="00000A"/>
        </w:rPr>
        <w:t xml:space="preserve">QUALITATIVI </w:t>
      </w:r>
      <w:r w:rsidR="00532B71" w:rsidRPr="00675948">
        <w:rPr>
          <w:rFonts w:ascii="Arial Narrow" w:hAnsi="Arial Narrow" w:cs="Arial"/>
          <w:b/>
          <w:i/>
          <w:color w:val="00000A"/>
        </w:rPr>
        <w:t>BROKER</w:t>
      </w:r>
      <w:r w:rsidR="00532B71" w:rsidRPr="00EF4172">
        <w:rPr>
          <w:rFonts w:ascii="Arial Narrow" w:hAnsi="Arial Narrow" w:cs="Arial"/>
          <w:b/>
          <w:color w:val="00000A"/>
        </w:rPr>
        <w:t xml:space="preserve"> ICCREA BANCA</w:t>
      </w:r>
    </w:p>
    <w:p w14:paraId="18306E63" w14:textId="77777777" w:rsidR="00A32377" w:rsidRDefault="008042B6" w:rsidP="00B57D63">
      <w:pPr>
        <w:spacing w:before="0"/>
        <w:jc w:val="center"/>
        <w:rPr>
          <w:rFonts w:ascii="Arial Narrow" w:hAnsi="Arial Narrow" w:cs="Arial"/>
          <w:b/>
          <w:i/>
          <w:color w:val="00000A"/>
        </w:rPr>
      </w:pPr>
      <w:r>
        <w:rPr>
          <w:rFonts w:ascii="Arial Narrow" w:hAnsi="Arial Narrow" w:cs="Arial"/>
          <w:b/>
          <w:i/>
          <w:color w:val="00000A"/>
        </w:rPr>
        <w:t xml:space="preserve"> </w:t>
      </w:r>
      <w:r w:rsidR="00A32377">
        <w:rPr>
          <w:rFonts w:ascii="Arial Narrow" w:hAnsi="Arial Narrow" w:cs="Arial"/>
          <w:b/>
          <w:i/>
          <w:color w:val="00000A"/>
        </w:rPr>
        <w:t>(Riferibili a</w:t>
      </w:r>
      <w:r w:rsidR="00B57D63">
        <w:rPr>
          <w:rFonts w:ascii="Arial Narrow" w:hAnsi="Arial Narrow" w:cs="Arial"/>
          <w:b/>
          <w:i/>
          <w:color w:val="00000A"/>
        </w:rPr>
        <w:t>l</w:t>
      </w:r>
      <w:r w:rsidR="00A32377">
        <w:rPr>
          <w:rFonts w:ascii="Arial Narrow" w:hAnsi="Arial Narrow" w:cs="Arial"/>
          <w:b/>
          <w:i/>
          <w:color w:val="00000A"/>
        </w:rPr>
        <w:t>l’insieme delle classi di strumenti finanziari elencati</w:t>
      </w:r>
      <w:r>
        <w:rPr>
          <w:rFonts w:ascii="Arial Narrow" w:hAnsi="Arial Narrow" w:cs="Arial"/>
          <w:b/>
          <w:i/>
          <w:color w:val="00000A"/>
        </w:rPr>
        <w:t xml:space="preserve"> nel “REPORT PRIM</w:t>
      </w:r>
      <w:r w:rsidR="0083115A">
        <w:rPr>
          <w:rFonts w:ascii="Arial Narrow" w:hAnsi="Arial Narrow" w:cs="Arial"/>
          <w:b/>
          <w:i/>
          <w:color w:val="00000A"/>
        </w:rPr>
        <w:t>I CINQUE BROKER</w:t>
      </w:r>
    </w:p>
    <w:p w14:paraId="15077ED8" w14:textId="750167AE" w:rsidR="008042B6" w:rsidRPr="00A32377" w:rsidRDefault="007C6339" w:rsidP="00B57D63">
      <w:pPr>
        <w:spacing w:before="0"/>
        <w:jc w:val="center"/>
        <w:rPr>
          <w:rFonts w:ascii="Arial Narrow" w:hAnsi="Arial Narrow" w:cs="Arial"/>
          <w:b/>
          <w:i/>
          <w:color w:val="00000A"/>
        </w:rPr>
      </w:pPr>
      <w:r>
        <w:rPr>
          <w:rFonts w:ascii="Arial Narrow" w:hAnsi="Arial Narrow" w:cs="Arial"/>
          <w:b/>
          <w:i/>
          <w:color w:val="00000A"/>
        </w:rPr>
        <w:t>ANNO 20</w:t>
      </w:r>
      <w:r w:rsidR="003B4581">
        <w:rPr>
          <w:rFonts w:ascii="Arial Narrow" w:hAnsi="Arial Narrow" w:cs="Arial"/>
          <w:b/>
          <w:i/>
          <w:color w:val="00000A"/>
        </w:rPr>
        <w:t>2</w:t>
      </w:r>
      <w:r w:rsidR="00F86C20">
        <w:rPr>
          <w:rFonts w:ascii="Arial Narrow" w:hAnsi="Arial Narrow" w:cs="Arial"/>
          <w:b/>
          <w:i/>
          <w:color w:val="00000A"/>
        </w:rPr>
        <w:t>1</w:t>
      </w:r>
      <w:r w:rsidR="008042B6">
        <w:rPr>
          <w:rFonts w:ascii="Arial Narrow" w:hAnsi="Arial Narrow" w:cs="Arial"/>
          <w:b/>
          <w:i/>
          <w:color w:val="00000A"/>
        </w:rPr>
        <w:t>”)</w:t>
      </w:r>
    </w:p>
    <w:p w14:paraId="5B99E4C2" w14:textId="77777777" w:rsidR="00683B2D" w:rsidRDefault="00683B2D" w:rsidP="00683B2D">
      <w:pPr>
        <w:spacing w:before="0"/>
        <w:rPr>
          <w:rFonts w:ascii="Arial Narrow" w:hAnsi="Arial Narrow" w:cs="Arial"/>
          <w:color w:val="00000A"/>
        </w:rPr>
      </w:pPr>
      <w:r w:rsidRPr="00683B2D">
        <w:rPr>
          <w:rFonts w:ascii="Arial Narrow" w:hAnsi="Arial Narrow" w:cs="Arial"/>
          <w:color w:val="00000A"/>
        </w:rPr>
        <w:t xml:space="preserve">La Banca raccoglie e trasmette le disposizioni della clientela nel rispetto dell’ordine temporale con cui pervengono. </w:t>
      </w:r>
    </w:p>
    <w:p w14:paraId="39E9BA79" w14:textId="77777777" w:rsidR="00386B9B" w:rsidRDefault="00B96CF5" w:rsidP="00683B2D">
      <w:pPr>
        <w:spacing w:before="0"/>
        <w:rPr>
          <w:rFonts w:ascii="Arial Narrow" w:hAnsi="Arial Narrow" w:cs="Arial"/>
          <w:color w:val="00000A"/>
        </w:rPr>
      </w:pPr>
      <w:r>
        <w:rPr>
          <w:rFonts w:ascii="Arial Narrow" w:hAnsi="Arial Narrow" w:cs="Arial"/>
          <w:color w:val="00000A"/>
        </w:rPr>
        <w:t xml:space="preserve">Attraverso la propria </w:t>
      </w:r>
      <w:r w:rsidRPr="00B96CF5">
        <w:rPr>
          <w:rFonts w:ascii="Arial Narrow" w:hAnsi="Arial Narrow" w:cs="Arial"/>
          <w:i/>
          <w:color w:val="00000A"/>
        </w:rPr>
        <w:t>“Policy di Strategia di esecuzione e trasmissione</w:t>
      </w:r>
      <w:r>
        <w:rPr>
          <w:rFonts w:ascii="Arial Narrow" w:hAnsi="Arial Narrow" w:cs="Arial"/>
          <w:i/>
          <w:color w:val="00000A"/>
        </w:rPr>
        <w:t xml:space="preserve"> </w:t>
      </w:r>
      <w:r w:rsidRPr="00B96CF5">
        <w:rPr>
          <w:rFonts w:ascii="Arial Narrow" w:hAnsi="Arial Narrow" w:cs="Arial"/>
          <w:i/>
          <w:color w:val="00000A"/>
        </w:rPr>
        <w:t>o</w:t>
      </w:r>
      <w:r>
        <w:rPr>
          <w:rFonts w:ascii="Arial Narrow" w:hAnsi="Arial Narrow" w:cs="Arial"/>
          <w:i/>
          <w:color w:val="00000A"/>
        </w:rPr>
        <w:t>r</w:t>
      </w:r>
      <w:r w:rsidRPr="00B96CF5">
        <w:rPr>
          <w:rFonts w:ascii="Arial Narrow" w:hAnsi="Arial Narrow" w:cs="Arial"/>
          <w:i/>
          <w:color w:val="00000A"/>
        </w:rPr>
        <w:t>dini”</w:t>
      </w:r>
      <w:r w:rsidR="00C2023D" w:rsidRPr="00C2023D">
        <w:rPr>
          <w:rFonts w:ascii="Arial Narrow" w:hAnsi="Arial Narrow" w:cs="Arial"/>
          <w:color w:val="00000A"/>
        </w:rPr>
        <w:t>,</w:t>
      </w:r>
      <w:r w:rsidR="00C2023D">
        <w:rPr>
          <w:rFonts w:ascii="Arial Narrow" w:hAnsi="Arial Narrow" w:cs="Arial"/>
          <w:i/>
          <w:color w:val="00000A"/>
        </w:rPr>
        <w:t xml:space="preserve"> </w:t>
      </w:r>
      <w:r>
        <w:rPr>
          <w:rFonts w:ascii="Arial Narrow" w:hAnsi="Arial Narrow" w:cs="Arial"/>
          <w:color w:val="00000A"/>
        </w:rPr>
        <w:t>la Banca valuta e confronta le diverse sedi di esecuzione, ovvero individua il/i negoziatore/i (di seguito “</w:t>
      </w:r>
      <w:r>
        <w:rPr>
          <w:rFonts w:ascii="Arial Narrow" w:hAnsi="Arial Narrow" w:cs="Arial"/>
          <w:i/>
          <w:color w:val="00000A"/>
        </w:rPr>
        <w:t>broker</w:t>
      </w:r>
      <w:r>
        <w:rPr>
          <w:rFonts w:ascii="Arial Narrow" w:hAnsi="Arial Narrow" w:cs="Arial"/>
          <w:color w:val="00000A"/>
        </w:rPr>
        <w:t xml:space="preserve">”) di riferimento, per poter indirizzare gli ordini dei clienti laddove sia assicurato il rispetto del principio di </w:t>
      </w:r>
      <w:r>
        <w:rPr>
          <w:rFonts w:ascii="Arial Narrow" w:hAnsi="Arial Narrow" w:cs="Arial"/>
          <w:i/>
          <w:color w:val="00000A"/>
        </w:rPr>
        <w:t xml:space="preserve">best </w:t>
      </w:r>
      <w:proofErr w:type="spellStart"/>
      <w:r>
        <w:rPr>
          <w:rFonts w:ascii="Arial Narrow" w:hAnsi="Arial Narrow" w:cs="Arial"/>
          <w:i/>
          <w:color w:val="00000A"/>
        </w:rPr>
        <w:t>execution</w:t>
      </w:r>
      <w:proofErr w:type="spellEnd"/>
      <w:r w:rsidR="00A32377">
        <w:rPr>
          <w:rFonts w:ascii="Arial Narrow" w:hAnsi="Arial Narrow" w:cs="Arial"/>
          <w:color w:val="00000A"/>
        </w:rPr>
        <w:t>,</w:t>
      </w:r>
      <w:r w:rsidR="00502D56">
        <w:rPr>
          <w:rFonts w:ascii="Arial Narrow" w:hAnsi="Arial Narrow" w:cs="Arial"/>
          <w:color w:val="00000A"/>
        </w:rPr>
        <w:t xml:space="preserve"> </w:t>
      </w:r>
      <w:r w:rsidR="00A32377">
        <w:rPr>
          <w:rFonts w:ascii="Arial Narrow" w:hAnsi="Arial Narrow" w:cs="Arial"/>
          <w:color w:val="00000A"/>
        </w:rPr>
        <w:t>fatte salve istruzioni specifiche che incidono nell’esecuzione.</w:t>
      </w:r>
    </w:p>
    <w:p w14:paraId="56A37F2F" w14:textId="77777777" w:rsidR="003A76F9" w:rsidRDefault="003A76F9" w:rsidP="0019197A">
      <w:pPr>
        <w:spacing w:before="0"/>
        <w:rPr>
          <w:rFonts w:ascii="Arial Narrow" w:hAnsi="Arial Narrow" w:cs="Tahoma"/>
          <w:color w:val="00000A"/>
        </w:rPr>
      </w:pPr>
      <w:r>
        <w:rPr>
          <w:rFonts w:ascii="Arial Narrow" w:hAnsi="Arial Narrow" w:cs="Tahoma"/>
          <w:color w:val="00000A"/>
        </w:rPr>
        <w:t xml:space="preserve">Nella prestazione del servizio raccolta ordine ai clienti al dettaglio, la Banca osserva il principio del </w:t>
      </w:r>
      <w:r w:rsidRPr="003A76F9">
        <w:rPr>
          <w:rFonts w:ascii="Arial Narrow" w:hAnsi="Arial Narrow" w:cs="Tahoma"/>
          <w:b/>
          <w:color w:val="00000A"/>
        </w:rPr>
        <w:t>corrispettivo totale</w:t>
      </w:r>
      <w:r>
        <w:rPr>
          <w:rFonts w:ascii="Arial Narrow" w:hAnsi="Arial Narrow" w:cs="Tahoma"/>
          <w:color w:val="00000A"/>
        </w:rPr>
        <w:t xml:space="preserve"> per l’ordine di rilevanza dei fattori di esecuzione</w:t>
      </w:r>
      <w:r w:rsidR="0019197A">
        <w:rPr>
          <w:rFonts w:ascii="Arial Narrow" w:hAnsi="Arial Narrow" w:cs="Tahoma"/>
          <w:color w:val="00000A"/>
        </w:rPr>
        <w:t xml:space="preserve"> (che possono comprendere</w:t>
      </w:r>
      <w:r w:rsidR="008B4248">
        <w:rPr>
          <w:rFonts w:ascii="Arial Narrow" w:hAnsi="Arial Narrow" w:cs="Tahoma"/>
          <w:color w:val="00000A"/>
        </w:rPr>
        <w:t xml:space="preserve"> altresì</w:t>
      </w:r>
      <w:r w:rsidR="0019197A">
        <w:rPr>
          <w:rFonts w:ascii="Arial Narrow" w:hAnsi="Arial Narrow" w:cs="Tahoma"/>
          <w:color w:val="00000A"/>
        </w:rPr>
        <w:t xml:space="preserve"> Rapidità di esecuzione, Probabilità di esecuzione, Probabilità di regolamento, natura e dimensione dell’ordine</w:t>
      </w:r>
      <w:r w:rsidR="008B4248">
        <w:rPr>
          <w:rFonts w:ascii="Arial Narrow" w:hAnsi="Arial Narrow" w:cs="Tahoma"/>
          <w:color w:val="00000A"/>
        </w:rPr>
        <w:t xml:space="preserve"> e altri fattori</w:t>
      </w:r>
      <w:r w:rsidR="0019197A">
        <w:rPr>
          <w:rFonts w:ascii="Arial Narrow" w:hAnsi="Arial Narrow" w:cs="Tahoma"/>
          <w:color w:val="00000A"/>
        </w:rPr>
        <w:t>)</w:t>
      </w:r>
      <w:r>
        <w:rPr>
          <w:rFonts w:ascii="Arial Narrow" w:hAnsi="Arial Narrow" w:cs="Tahoma"/>
          <w:color w:val="00000A"/>
        </w:rPr>
        <w:t xml:space="preserve">. Più in particolare, la scelta del/i </w:t>
      </w:r>
      <w:r>
        <w:rPr>
          <w:rFonts w:ascii="Arial Narrow" w:hAnsi="Arial Narrow" w:cs="Tahoma"/>
          <w:i/>
          <w:color w:val="00000A"/>
        </w:rPr>
        <w:t xml:space="preserve">broker </w:t>
      </w:r>
      <w:r>
        <w:rPr>
          <w:rFonts w:ascii="Arial Narrow" w:hAnsi="Arial Narrow" w:cs="Tahoma"/>
          <w:color w:val="00000A"/>
        </w:rPr>
        <w:t xml:space="preserve">è condotta assegnando assoluta rilevanza a due fattori di esecuzione: </w:t>
      </w:r>
    </w:p>
    <w:p w14:paraId="59531600" w14:textId="77777777" w:rsidR="003A76F9" w:rsidRPr="003A76F9" w:rsidRDefault="003A76F9" w:rsidP="0019197A">
      <w:pPr>
        <w:pStyle w:val="Paragrafoelenco"/>
        <w:numPr>
          <w:ilvl w:val="0"/>
          <w:numId w:val="8"/>
        </w:numPr>
        <w:tabs>
          <w:tab w:val="left" w:pos="180"/>
        </w:tabs>
        <w:spacing w:before="0"/>
        <w:rPr>
          <w:rFonts w:ascii="Arial Narrow" w:hAnsi="Arial Narrow" w:cs="Arial"/>
          <w:color w:val="00000A"/>
        </w:rPr>
      </w:pPr>
      <w:r w:rsidRPr="003A76F9">
        <w:rPr>
          <w:rFonts w:ascii="Arial Narrow" w:hAnsi="Arial Narrow" w:cs="Arial"/>
          <w:color w:val="00000A"/>
        </w:rPr>
        <w:t xml:space="preserve">il prezzo dello strumento finanziario; </w:t>
      </w:r>
    </w:p>
    <w:p w14:paraId="637FD55D" w14:textId="77777777" w:rsidR="003A76F9" w:rsidRPr="003A76F9" w:rsidRDefault="003A76F9" w:rsidP="0019197A">
      <w:pPr>
        <w:pStyle w:val="Paragrafoelenco"/>
        <w:numPr>
          <w:ilvl w:val="0"/>
          <w:numId w:val="8"/>
        </w:numPr>
        <w:spacing w:before="0"/>
        <w:rPr>
          <w:rFonts w:ascii="Arial Narrow" w:hAnsi="Arial Narrow" w:cs="Arial"/>
          <w:color w:val="00000A"/>
        </w:rPr>
      </w:pPr>
      <w:r w:rsidRPr="003A76F9">
        <w:rPr>
          <w:rFonts w:ascii="Arial Narrow" w:hAnsi="Arial Narrow" w:cs="Arial"/>
          <w:color w:val="00000A"/>
        </w:rPr>
        <w:t>i costi relativi all’esecuzione che includono tutte le spese direttamente collegate all’esecuzione dell’ordine</w:t>
      </w:r>
      <w:r w:rsidR="008B4248">
        <w:rPr>
          <w:rFonts w:ascii="Arial Narrow" w:hAnsi="Arial Narrow" w:cs="Arial"/>
          <w:color w:val="00000A"/>
        </w:rPr>
        <w:t>.</w:t>
      </w:r>
    </w:p>
    <w:p w14:paraId="3A29490C" w14:textId="77777777" w:rsidR="00386B9B" w:rsidRPr="00386B9B" w:rsidRDefault="003A76F9" w:rsidP="00386B9B">
      <w:pPr>
        <w:spacing w:before="0"/>
        <w:rPr>
          <w:rFonts w:ascii="Arial Narrow" w:hAnsi="Arial Narrow" w:cs="Arial"/>
          <w:color w:val="00000A"/>
        </w:rPr>
      </w:pPr>
      <w:r>
        <w:rPr>
          <w:rFonts w:ascii="Arial Narrow" w:hAnsi="Arial Narrow" w:cs="Tahoma"/>
          <w:iCs/>
          <w:color w:val="00000A"/>
        </w:rPr>
        <w:t>L</w:t>
      </w:r>
      <w:r w:rsidR="00386B9B">
        <w:rPr>
          <w:rFonts w:ascii="Arial Narrow" w:hAnsi="Arial Narrow" w:cs="Tahoma"/>
          <w:iCs/>
          <w:color w:val="00000A"/>
        </w:rPr>
        <w:t>a Banca ha selezionato</w:t>
      </w:r>
      <w:r>
        <w:rPr>
          <w:rFonts w:ascii="Arial Narrow" w:hAnsi="Arial Narrow" w:cs="Tahoma"/>
          <w:iCs/>
          <w:color w:val="00000A"/>
        </w:rPr>
        <w:t xml:space="preserve"> dunque</w:t>
      </w:r>
      <w:r w:rsidR="00386B9B">
        <w:rPr>
          <w:rFonts w:ascii="Arial Narrow" w:hAnsi="Arial Narrow" w:cs="Tahoma"/>
          <w:iCs/>
          <w:color w:val="00000A"/>
        </w:rPr>
        <w:t xml:space="preserve"> il/i </w:t>
      </w:r>
      <w:r w:rsidR="00386B9B">
        <w:rPr>
          <w:rFonts w:ascii="Arial Narrow" w:hAnsi="Arial Narrow" w:cs="Tahoma"/>
          <w:i/>
          <w:iCs/>
          <w:color w:val="00000A"/>
        </w:rPr>
        <w:t>broker,</w:t>
      </w:r>
      <w:r w:rsidR="00386B9B">
        <w:rPr>
          <w:rFonts w:ascii="Arial Narrow" w:hAnsi="Arial Narrow" w:cs="Tahoma"/>
          <w:iCs/>
          <w:color w:val="00000A"/>
        </w:rPr>
        <w:t xml:space="preserve"> </w:t>
      </w:r>
      <w:r w:rsidR="00386B9B">
        <w:rPr>
          <w:rFonts w:ascii="Arial Narrow" w:hAnsi="Arial Narrow" w:cs="Tahoma"/>
          <w:color w:val="00000A"/>
        </w:rPr>
        <w:t>in ragione delle strategie di esecuzione adottate da questi ultimi,</w:t>
      </w:r>
      <w:r w:rsidR="00386B9B">
        <w:rPr>
          <w:rFonts w:ascii="Arial Narrow" w:hAnsi="Arial Narrow" w:cs="Tahoma"/>
          <w:iCs/>
          <w:color w:val="00000A"/>
        </w:rPr>
        <w:t xml:space="preserve"> tenendo principalmente in considerazione: </w:t>
      </w:r>
    </w:p>
    <w:p w14:paraId="5CE4194A" w14:textId="77777777" w:rsidR="00386B9B" w:rsidRDefault="00386B9B" w:rsidP="00386B9B">
      <w:pPr>
        <w:numPr>
          <w:ilvl w:val="0"/>
          <w:numId w:val="1"/>
        </w:numPr>
        <w:tabs>
          <w:tab w:val="left" w:pos="360"/>
        </w:tabs>
        <w:spacing w:before="0"/>
        <w:ind w:left="0" w:firstLine="0"/>
        <w:rPr>
          <w:rFonts w:ascii="Arial Narrow" w:hAnsi="Arial Narrow" w:cs="Tahoma"/>
          <w:i/>
          <w:iCs/>
          <w:color w:val="00000A"/>
        </w:rPr>
      </w:pPr>
      <w:r>
        <w:rPr>
          <w:rFonts w:ascii="Arial Narrow" w:hAnsi="Arial Narrow" w:cs="Tahoma"/>
          <w:i/>
          <w:iCs/>
          <w:color w:val="00000A"/>
        </w:rPr>
        <w:t>l’ampiezza e significatività delle sedi di esecuzione raggiungibili;</w:t>
      </w:r>
    </w:p>
    <w:p w14:paraId="35AB141C" w14:textId="77777777" w:rsidR="00386B9B" w:rsidRDefault="00386B9B" w:rsidP="00386B9B">
      <w:pPr>
        <w:numPr>
          <w:ilvl w:val="0"/>
          <w:numId w:val="1"/>
        </w:numPr>
        <w:tabs>
          <w:tab w:val="left" w:pos="360"/>
        </w:tabs>
        <w:spacing w:before="0"/>
        <w:ind w:left="0" w:firstLine="0"/>
        <w:rPr>
          <w:rFonts w:ascii="Arial Narrow" w:hAnsi="Arial Narrow" w:cs="Tahoma"/>
          <w:i/>
          <w:iCs/>
          <w:color w:val="00000A"/>
        </w:rPr>
      </w:pPr>
      <w:r>
        <w:rPr>
          <w:rFonts w:ascii="Arial Narrow" w:hAnsi="Arial Narrow" w:cs="Tahoma"/>
          <w:i/>
          <w:iCs/>
          <w:color w:val="00000A"/>
        </w:rPr>
        <w:t xml:space="preserve">il corrispettivo del servizio fornito. </w:t>
      </w:r>
    </w:p>
    <w:p w14:paraId="7F2F430B" w14:textId="77777777" w:rsidR="00386B9B" w:rsidRPr="00386B9B" w:rsidRDefault="008B4248" w:rsidP="00386B9B">
      <w:pPr>
        <w:spacing w:before="0"/>
        <w:rPr>
          <w:rFonts w:ascii="Arial Narrow" w:hAnsi="Arial Narrow" w:cs="Tahoma"/>
          <w:iCs/>
          <w:color w:val="00000A"/>
        </w:rPr>
      </w:pPr>
      <w:r>
        <w:rPr>
          <w:rFonts w:ascii="Arial Narrow" w:hAnsi="Arial Narrow" w:cs="Tahoma"/>
          <w:iCs/>
          <w:color w:val="00000A"/>
        </w:rPr>
        <w:t>Inoltre, l’Azienda</w:t>
      </w:r>
      <w:r w:rsidR="00386B9B">
        <w:rPr>
          <w:rFonts w:ascii="Arial Narrow" w:hAnsi="Arial Narrow" w:cs="Tahoma"/>
          <w:iCs/>
          <w:color w:val="00000A"/>
        </w:rPr>
        <w:t xml:space="preserve"> ha tenuto in considerazione anche i seguenti fattori:</w:t>
      </w:r>
      <w:r w:rsidR="00386B9B" w:rsidRPr="00386B9B">
        <w:rPr>
          <w:rFonts w:ascii="Arial Narrow" w:hAnsi="Arial Narrow" w:cs="Tahoma"/>
          <w:iCs/>
          <w:color w:val="00000A"/>
        </w:rPr>
        <w:t xml:space="preserve"> </w:t>
      </w:r>
    </w:p>
    <w:p w14:paraId="532C0B22" w14:textId="77777777" w:rsidR="00386B9B" w:rsidRPr="00386B9B" w:rsidRDefault="00386B9B" w:rsidP="00386B9B">
      <w:pPr>
        <w:numPr>
          <w:ilvl w:val="0"/>
          <w:numId w:val="1"/>
        </w:numPr>
        <w:tabs>
          <w:tab w:val="left" w:pos="360"/>
        </w:tabs>
        <w:spacing w:before="0"/>
        <w:ind w:left="0" w:firstLine="0"/>
        <w:rPr>
          <w:rFonts w:ascii="Arial Narrow" w:hAnsi="Arial Narrow" w:cs="Tahoma"/>
          <w:i/>
          <w:iCs/>
          <w:color w:val="00000A"/>
        </w:rPr>
      </w:pPr>
      <w:r w:rsidRPr="00386B9B">
        <w:rPr>
          <w:rFonts w:ascii="Arial Narrow" w:hAnsi="Arial Narrow" w:cs="Tahoma"/>
          <w:i/>
          <w:iCs/>
          <w:color w:val="00000A"/>
        </w:rPr>
        <w:t xml:space="preserve">Tipologia e caratteristiche della best </w:t>
      </w:r>
      <w:proofErr w:type="spellStart"/>
      <w:r w:rsidRPr="00386B9B">
        <w:rPr>
          <w:rFonts w:ascii="Arial Narrow" w:hAnsi="Arial Narrow" w:cs="Tahoma"/>
          <w:i/>
          <w:iCs/>
          <w:color w:val="00000A"/>
        </w:rPr>
        <w:t>execution</w:t>
      </w:r>
      <w:proofErr w:type="spellEnd"/>
      <w:r w:rsidRPr="00386B9B">
        <w:rPr>
          <w:rFonts w:ascii="Arial Narrow" w:hAnsi="Arial Narrow" w:cs="Tahoma"/>
          <w:i/>
          <w:iCs/>
          <w:color w:val="00000A"/>
        </w:rPr>
        <w:t xml:space="preserve"> adottata (statica o dinamica);</w:t>
      </w:r>
    </w:p>
    <w:p w14:paraId="5BB40738" w14:textId="77777777" w:rsidR="00386B9B" w:rsidRPr="00386B9B" w:rsidRDefault="00386B9B" w:rsidP="00386B9B">
      <w:pPr>
        <w:numPr>
          <w:ilvl w:val="0"/>
          <w:numId w:val="1"/>
        </w:numPr>
        <w:tabs>
          <w:tab w:val="left" w:pos="360"/>
        </w:tabs>
        <w:spacing w:before="0"/>
        <w:ind w:left="0" w:firstLine="0"/>
        <w:rPr>
          <w:rFonts w:ascii="Arial Narrow" w:hAnsi="Arial Narrow" w:cs="Tahoma"/>
          <w:i/>
          <w:iCs/>
          <w:color w:val="00000A"/>
        </w:rPr>
      </w:pPr>
      <w:r w:rsidRPr="00386B9B">
        <w:rPr>
          <w:rFonts w:ascii="Arial Narrow" w:hAnsi="Arial Narrow" w:cs="Tahoma"/>
          <w:i/>
          <w:iCs/>
          <w:color w:val="00000A"/>
        </w:rPr>
        <w:t>Profilo di rischio della controparte;</w:t>
      </w:r>
    </w:p>
    <w:p w14:paraId="2485D074" w14:textId="77777777" w:rsidR="00386B9B" w:rsidRPr="00386B9B" w:rsidRDefault="00386B9B" w:rsidP="00386B9B">
      <w:pPr>
        <w:numPr>
          <w:ilvl w:val="0"/>
          <w:numId w:val="1"/>
        </w:numPr>
        <w:tabs>
          <w:tab w:val="left" w:pos="360"/>
        </w:tabs>
        <w:spacing w:before="0"/>
        <w:ind w:left="0" w:firstLine="0"/>
        <w:rPr>
          <w:rFonts w:ascii="Arial Narrow" w:hAnsi="Arial Narrow" w:cs="Tahoma"/>
          <w:i/>
          <w:iCs/>
          <w:color w:val="00000A"/>
        </w:rPr>
      </w:pPr>
      <w:r w:rsidRPr="00386B9B">
        <w:rPr>
          <w:rFonts w:ascii="Arial Narrow" w:hAnsi="Arial Narrow" w:cs="Tahoma"/>
          <w:i/>
          <w:iCs/>
          <w:color w:val="00000A"/>
        </w:rPr>
        <w:t xml:space="preserve">Livello di efficienza e integrazione delle fasi di </w:t>
      </w:r>
      <w:proofErr w:type="spellStart"/>
      <w:r w:rsidRPr="00386B9B">
        <w:rPr>
          <w:rFonts w:ascii="Arial Narrow" w:hAnsi="Arial Narrow" w:cs="Tahoma"/>
          <w:i/>
          <w:iCs/>
          <w:color w:val="00000A"/>
        </w:rPr>
        <w:t>pre</w:t>
      </w:r>
      <w:proofErr w:type="spellEnd"/>
      <w:r w:rsidRPr="00386B9B">
        <w:rPr>
          <w:rFonts w:ascii="Arial Narrow" w:hAnsi="Arial Narrow" w:cs="Tahoma"/>
          <w:i/>
          <w:iCs/>
          <w:color w:val="00000A"/>
        </w:rPr>
        <w:t xml:space="preserve"> e post trading (liquidazione e regolamento);</w:t>
      </w:r>
    </w:p>
    <w:p w14:paraId="3C9AB534" w14:textId="77777777" w:rsidR="00386B9B" w:rsidRPr="00386B9B" w:rsidRDefault="00386B9B" w:rsidP="00386B9B">
      <w:pPr>
        <w:numPr>
          <w:ilvl w:val="0"/>
          <w:numId w:val="1"/>
        </w:numPr>
        <w:tabs>
          <w:tab w:val="left" w:pos="360"/>
        </w:tabs>
        <w:spacing w:before="0"/>
        <w:ind w:left="426" w:hanging="426"/>
        <w:rPr>
          <w:rFonts w:ascii="Arial Narrow" w:hAnsi="Arial Narrow" w:cs="Tahoma"/>
          <w:i/>
          <w:iCs/>
          <w:color w:val="00000A"/>
        </w:rPr>
      </w:pPr>
      <w:r w:rsidRPr="00386B9B">
        <w:rPr>
          <w:rFonts w:ascii="Arial Narrow" w:hAnsi="Arial Narrow" w:cs="Tahoma"/>
          <w:i/>
          <w:iCs/>
          <w:color w:val="00000A"/>
        </w:rPr>
        <w:t>Supporti informativi e operativi flessibili in grado di rispondere in maniera tempestiva all’evolversi delle condizioni di mercato;</w:t>
      </w:r>
    </w:p>
    <w:p w14:paraId="1626552C" w14:textId="77777777" w:rsidR="00386B9B" w:rsidRPr="00386B9B" w:rsidRDefault="00386B9B" w:rsidP="00386B9B">
      <w:pPr>
        <w:numPr>
          <w:ilvl w:val="0"/>
          <w:numId w:val="1"/>
        </w:numPr>
        <w:tabs>
          <w:tab w:val="left" w:pos="360"/>
        </w:tabs>
        <w:spacing w:before="0"/>
        <w:ind w:left="0" w:firstLine="0"/>
        <w:rPr>
          <w:rFonts w:ascii="Arial Narrow" w:hAnsi="Arial Narrow" w:cs="Tahoma"/>
          <w:i/>
          <w:iCs/>
          <w:color w:val="00000A"/>
        </w:rPr>
      </w:pPr>
      <w:r w:rsidRPr="00386B9B">
        <w:rPr>
          <w:rFonts w:ascii="Arial Narrow" w:hAnsi="Arial Narrow" w:cs="Tahoma"/>
          <w:i/>
          <w:iCs/>
          <w:color w:val="00000A"/>
        </w:rPr>
        <w:t>Tipologia di interconnessione impiegata;</w:t>
      </w:r>
    </w:p>
    <w:p w14:paraId="579E452F" w14:textId="77777777" w:rsidR="00386B9B" w:rsidRDefault="00386B9B" w:rsidP="00386B9B">
      <w:pPr>
        <w:numPr>
          <w:ilvl w:val="0"/>
          <w:numId w:val="1"/>
        </w:numPr>
        <w:tabs>
          <w:tab w:val="left" w:pos="360"/>
        </w:tabs>
        <w:spacing w:before="0"/>
        <w:ind w:left="0" w:firstLine="0"/>
        <w:rPr>
          <w:rFonts w:ascii="Arial Narrow" w:hAnsi="Arial Narrow" w:cs="Tahoma"/>
          <w:i/>
          <w:iCs/>
          <w:color w:val="00000A"/>
        </w:rPr>
      </w:pPr>
      <w:r w:rsidRPr="00386B9B">
        <w:rPr>
          <w:rFonts w:ascii="Arial Narrow" w:hAnsi="Arial Narrow" w:cs="Tahoma"/>
          <w:i/>
          <w:iCs/>
          <w:color w:val="00000A"/>
        </w:rPr>
        <w:t>Condizioni commerciali trasparenti e favorevoli.</w:t>
      </w:r>
    </w:p>
    <w:p w14:paraId="6DD111DC" w14:textId="77777777" w:rsidR="00386B9B" w:rsidRDefault="00386B9B" w:rsidP="00386B9B">
      <w:pPr>
        <w:spacing w:before="0"/>
        <w:rPr>
          <w:rFonts w:ascii="Arial Narrow" w:hAnsi="Arial Narrow" w:cs="Tahoma"/>
          <w:iCs/>
          <w:color w:val="00000A"/>
        </w:rPr>
      </w:pPr>
      <w:r>
        <w:rPr>
          <w:rFonts w:ascii="Arial Narrow" w:hAnsi="Arial Narrow" w:cs="Tahoma"/>
          <w:iCs/>
          <w:color w:val="00000A"/>
        </w:rPr>
        <w:t>Pertanto, in base a tale processo di valutazione la Banca ha identificato</w:t>
      </w:r>
      <w:r>
        <w:rPr>
          <w:rFonts w:ascii="Arial Narrow" w:hAnsi="Arial Narrow" w:cs="Tahoma"/>
          <w:b/>
          <w:iCs/>
          <w:color w:val="00000A"/>
        </w:rPr>
        <w:t xml:space="preserve"> ICCREA Banca </w:t>
      </w:r>
      <w:r>
        <w:rPr>
          <w:rFonts w:ascii="Arial Narrow" w:hAnsi="Arial Narrow" w:cs="Tahoma"/>
          <w:iCs/>
          <w:color w:val="00000A"/>
        </w:rPr>
        <w:t xml:space="preserve">quale </w:t>
      </w:r>
      <w:r w:rsidRPr="00C0368A">
        <w:rPr>
          <w:rFonts w:ascii="Arial Narrow" w:hAnsi="Arial Narrow" w:cs="Tahoma"/>
          <w:b/>
          <w:iCs/>
          <w:color w:val="00000A"/>
        </w:rPr>
        <w:t>unico</w:t>
      </w:r>
      <w:r>
        <w:rPr>
          <w:rFonts w:ascii="Arial Narrow" w:hAnsi="Arial Narrow" w:cs="Tahoma"/>
          <w:iCs/>
          <w:color w:val="00000A"/>
        </w:rPr>
        <w:t xml:space="preserve"> soggetto a cui trasmettere gli ordini</w:t>
      </w:r>
      <w:r w:rsidR="0019197A">
        <w:rPr>
          <w:rFonts w:ascii="Arial Narrow" w:hAnsi="Arial Narrow" w:cs="Tahoma"/>
          <w:iCs/>
          <w:color w:val="00000A"/>
        </w:rPr>
        <w:t xml:space="preserve"> per l’insieme delle “classi di strumenti finanziari” trattati</w:t>
      </w:r>
      <w:r>
        <w:rPr>
          <w:rFonts w:ascii="Arial Narrow" w:hAnsi="Arial Narrow" w:cs="Tahoma"/>
          <w:iCs/>
          <w:color w:val="00000A"/>
        </w:rPr>
        <w:t>.</w:t>
      </w:r>
    </w:p>
    <w:p w14:paraId="08A71372" w14:textId="77777777" w:rsidR="00386B9B" w:rsidRDefault="00386B9B" w:rsidP="00386B9B">
      <w:pPr>
        <w:spacing w:before="0"/>
        <w:rPr>
          <w:rFonts w:ascii="Arial Narrow" w:hAnsi="Arial Narrow" w:cs="Tahoma"/>
          <w:i/>
          <w:iCs/>
          <w:color w:val="00000A"/>
        </w:rPr>
      </w:pPr>
      <w:r>
        <w:rPr>
          <w:rFonts w:ascii="Arial Narrow" w:hAnsi="Arial Narrow" w:cs="Tahoma"/>
          <w:bCs/>
          <w:color w:val="00000A"/>
        </w:rPr>
        <w:t>L’elenco delle sedi di esecuzione sulle quali il</w:t>
      </w:r>
      <w:r>
        <w:rPr>
          <w:rFonts w:ascii="Arial Narrow" w:hAnsi="Arial Narrow" w:cs="Tahoma"/>
          <w:bCs/>
          <w:i/>
          <w:color w:val="00000A"/>
        </w:rPr>
        <w:t xml:space="preserve"> broker</w:t>
      </w:r>
      <w:r w:rsidR="00A15052">
        <w:rPr>
          <w:rFonts w:ascii="Arial Narrow" w:hAnsi="Arial Narrow" w:cs="Tahoma"/>
          <w:bCs/>
          <w:i/>
          <w:color w:val="00000A"/>
        </w:rPr>
        <w:t xml:space="preserve"> </w:t>
      </w:r>
      <w:r w:rsidR="00A15052">
        <w:rPr>
          <w:rFonts w:ascii="Arial Narrow" w:hAnsi="Arial Narrow" w:cs="Tahoma"/>
          <w:b/>
          <w:iCs/>
          <w:color w:val="00000A"/>
        </w:rPr>
        <w:t>ICCREA Banca</w:t>
      </w:r>
      <w:r>
        <w:rPr>
          <w:rFonts w:ascii="Arial Narrow" w:hAnsi="Arial Narrow" w:cs="Tahoma"/>
          <w:bCs/>
          <w:i/>
          <w:color w:val="00000A"/>
        </w:rPr>
        <w:t xml:space="preserve"> </w:t>
      </w:r>
      <w:r w:rsidRPr="0019197A">
        <w:rPr>
          <w:rFonts w:ascii="Arial Narrow" w:hAnsi="Arial Narrow" w:cs="Tahoma"/>
          <w:bCs/>
          <w:color w:val="00000A"/>
        </w:rPr>
        <w:t>fa</w:t>
      </w:r>
      <w:r>
        <w:rPr>
          <w:rFonts w:ascii="Arial Narrow" w:hAnsi="Arial Narrow" w:cs="Tahoma"/>
          <w:bCs/>
          <w:color w:val="00000A"/>
        </w:rPr>
        <w:t xml:space="preserve"> affidamento, in relazione a ciascuna categoria di strumenti finanziari, è contenuto nella </w:t>
      </w:r>
      <w:r w:rsidRPr="0019197A">
        <w:rPr>
          <w:rFonts w:ascii="Arial Narrow" w:hAnsi="Arial Narrow" w:cs="Tahoma"/>
          <w:bCs/>
          <w:i/>
          <w:color w:val="00000A"/>
        </w:rPr>
        <w:t>Strategia di esecuzione e trasmissione di Iccrea Banca</w:t>
      </w:r>
      <w:r>
        <w:rPr>
          <w:rFonts w:ascii="Arial Narrow" w:hAnsi="Arial Narrow" w:cs="Tahoma"/>
          <w:bCs/>
          <w:color w:val="00000A"/>
        </w:rPr>
        <w:t xml:space="preserve">, alla quale si fa rinvio. </w:t>
      </w:r>
      <w:r w:rsidR="0019197A">
        <w:rPr>
          <w:rFonts w:ascii="Arial Narrow" w:hAnsi="Arial Narrow" w:cs="Tahoma"/>
          <w:bCs/>
          <w:color w:val="00000A"/>
        </w:rPr>
        <w:t xml:space="preserve">Essa </w:t>
      </w:r>
      <w:r w:rsidRPr="0019197A">
        <w:rPr>
          <w:rFonts w:ascii="Arial Narrow" w:hAnsi="Arial Narrow" w:cs="Tahoma"/>
          <w:bCs/>
          <w:color w:val="00000A"/>
        </w:rPr>
        <w:t>è</w:t>
      </w:r>
      <w:r w:rsidRPr="0019197A">
        <w:rPr>
          <w:rFonts w:ascii="Arial Narrow" w:hAnsi="Arial Narrow"/>
          <w:color w:val="00000A"/>
          <w:sz w:val="20"/>
          <w:szCs w:val="20"/>
        </w:rPr>
        <w:t xml:space="preserve"> </w:t>
      </w:r>
      <w:r w:rsidRPr="0019197A">
        <w:rPr>
          <w:rFonts w:ascii="Arial Narrow" w:hAnsi="Arial Narrow" w:cs="Tahoma"/>
          <w:bCs/>
          <w:color w:val="00000A"/>
        </w:rPr>
        <w:t xml:space="preserve">disponibile per la clientela della Banca </w:t>
      </w:r>
      <w:r>
        <w:rPr>
          <w:rFonts w:ascii="Arial Narrow" w:hAnsi="Arial Narrow" w:cs="Tahoma"/>
          <w:bCs/>
          <w:i/>
          <w:color w:val="00000A"/>
        </w:rPr>
        <w:t xml:space="preserve">sul sito internet </w:t>
      </w:r>
      <w:r>
        <w:rPr>
          <w:rFonts w:ascii="Arial Narrow" w:hAnsi="Arial Narrow"/>
        </w:rPr>
        <w:t>del broker di riferimento ovvero</w:t>
      </w:r>
      <w:r>
        <w:rPr>
          <w:rFonts w:ascii="Arial Narrow" w:hAnsi="Arial Narrow" w:cs="Tahoma"/>
          <w:i/>
          <w:iCs/>
          <w:color w:val="00000A"/>
        </w:rPr>
        <w:t xml:space="preserve"> www.iccreabanca.it</w:t>
      </w:r>
    </w:p>
    <w:p w14:paraId="0CA1ACE5" w14:textId="77777777" w:rsidR="008F12F7" w:rsidRDefault="00683B2D" w:rsidP="00386B9B">
      <w:pPr>
        <w:spacing w:before="0"/>
        <w:rPr>
          <w:rFonts w:ascii="Arial Narrow" w:hAnsi="Arial Narrow" w:cs="Tahoma"/>
          <w:iCs/>
          <w:color w:val="00000A"/>
        </w:rPr>
      </w:pPr>
      <w:r>
        <w:rPr>
          <w:rFonts w:ascii="Arial Narrow" w:hAnsi="Arial Narrow" w:cs="Tahoma"/>
          <w:bCs/>
          <w:color w:val="00000A"/>
        </w:rPr>
        <w:t>In genere,</w:t>
      </w:r>
      <w:r w:rsidR="00A15052">
        <w:rPr>
          <w:rFonts w:ascii="Arial Narrow" w:hAnsi="Arial Narrow" w:cs="Tahoma"/>
          <w:bCs/>
          <w:color w:val="00000A"/>
        </w:rPr>
        <w:t xml:space="preserve"> sono trasmesse a </w:t>
      </w:r>
      <w:r w:rsidR="00A15052">
        <w:rPr>
          <w:rFonts w:ascii="Arial Narrow" w:hAnsi="Arial Narrow" w:cs="Tahoma"/>
          <w:b/>
          <w:iCs/>
          <w:color w:val="00000A"/>
        </w:rPr>
        <w:t xml:space="preserve">ICCREA Banca </w:t>
      </w:r>
      <w:r w:rsidR="00A15052">
        <w:rPr>
          <w:rFonts w:ascii="Arial Narrow" w:hAnsi="Arial Narrow" w:cs="Tahoma"/>
          <w:iCs/>
          <w:color w:val="00000A"/>
        </w:rPr>
        <w:t>le seguenti tip</w:t>
      </w:r>
      <w:r w:rsidR="001B0F1E">
        <w:rPr>
          <w:rFonts w:ascii="Arial Narrow" w:hAnsi="Arial Narrow" w:cs="Tahoma"/>
          <w:iCs/>
          <w:color w:val="00000A"/>
        </w:rPr>
        <w:t>ologie di strumenti finanziari</w:t>
      </w:r>
      <w:r w:rsidR="00B840DE">
        <w:rPr>
          <w:rFonts w:ascii="Arial Narrow" w:hAnsi="Arial Narrow" w:cs="Tahoma"/>
          <w:iCs/>
          <w:color w:val="00000A"/>
        </w:rPr>
        <w:t>:</w:t>
      </w:r>
    </w:p>
    <w:p w14:paraId="317294AD" w14:textId="77777777" w:rsidR="00B840DE" w:rsidRDefault="00B840DE" w:rsidP="00B840DE">
      <w:pPr>
        <w:numPr>
          <w:ilvl w:val="0"/>
          <w:numId w:val="2"/>
        </w:numPr>
        <w:spacing w:before="0"/>
        <w:ind w:left="425" w:hanging="425"/>
        <w:rPr>
          <w:rFonts w:ascii="Arial Narrow" w:hAnsi="Arial Narrow" w:cs="Tahoma"/>
          <w:i/>
          <w:color w:val="00000A"/>
        </w:rPr>
      </w:pPr>
      <w:r>
        <w:rPr>
          <w:rFonts w:ascii="Arial Narrow" w:hAnsi="Arial Narrow" w:cs="Tahoma"/>
          <w:i/>
          <w:color w:val="00000A"/>
        </w:rPr>
        <w:t>Azioni ed ETF quotati sui mercati regolamentati italiani</w:t>
      </w:r>
    </w:p>
    <w:p w14:paraId="13BE6F44" w14:textId="77777777" w:rsidR="00B840DE" w:rsidRDefault="00B840DE" w:rsidP="00B840DE">
      <w:pPr>
        <w:numPr>
          <w:ilvl w:val="0"/>
          <w:numId w:val="2"/>
        </w:numPr>
        <w:spacing w:before="0"/>
        <w:ind w:left="425" w:hanging="425"/>
        <w:rPr>
          <w:rFonts w:ascii="Arial Narrow" w:hAnsi="Arial Narrow" w:cs="Tahoma"/>
          <w:i/>
          <w:color w:val="00000A"/>
        </w:rPr>
      </w:pPr>
      <w:r>
        <w:rPr>
          <w:rFonts w:ascii="Arial Narrow" w:hAnsi="Arial Narrow" w:cs="Tahoma"/>
          <w:i/>
          <w:color w:val="00000A"/>
        </w:rPr>
        <w:t>Azioni ed ETF quotati sui mercati regolamentati esteri (comunitari e non comunitari)</w:t>
      </w:r>
    </w:p>
    <w:p w14:paraId="0BBF42F2" w14:textId="77777777" w:rsidR="00B840DE" w:rsidRDefault="00B840DE" w:rsidP="00B840DE">
      <w:pPr>
        <w:numPr>
          <w:ilvl w:val="0"/>
          <w:numId w:val="2"/>
        </w:numPr>
        <w:spacing w:before="0"/>
        <w:ind w:left="425" w:hanging="425"/>
        <w:rPr>
          <w:rFonts w:ascii="Arial Narrow" w:hAnsi="Arial Narrow" w:cs="Tahoma"/>
          <w:i/>
          <w:color w:val="00000A"/>
        </w:rPr>
      </w:pPr>
      <w:r>
        <w:rPr>
          <w:rFonts w:ascii="Arial Narrow" w:hAnsi="Arial Narrow" w:cs="Tahoma"/>
          <w:i/>
          <w:color w:val="00000A"/>
        </w:rPr>
        <w:t>Obbligazioni, Euro-Obbligazioni e Titoli di Stato quotati sui mercati regolamentati italiani</w:t>
      </w:r>
    </w:p>
    <w:p w14:paraId="4377FD14" w14:textId="77777777" w:rsidR="00B840DE" w:rsidRDefault="00B840DE" w:rsidP="00B840DE">
      <w:pPr>
        <w:numPr>
          <w:ilvl w:val="0"/>
          <w:numId w:val="2"/>
        </w:numPr>
        <w:spacing w:before="0"/>
        <w:ind w:left="425" w:hanging="425"/>
        <w:rPr>
          <w:rFonts w:ascii="Arial Narrow" w:hAnsi="Arial Narrow" w:cs="Tahoma"/>
          <w:i/>
          <w:color w:val="00000A"/>
        </w:rPr>
      </w:pPr>
      <w:r>
        <w:rPr>
          <w:rFonts w:ascii="Arial Narrow" w:hAnsi="Arial Narrow" w:cs="Tahoma"/>
          <w:i/>
          <w:color w:val="00000A"/>
        </w:rPr>
        <w:t>Obbligazioni quotate sui mercati regolamentati esteri (comunitari, non comunitari)</w:t>
      </w:r>
    </w:p>
    <w:p w14:paraId="6D34C6D3" w14:textId="77777777" w:rsidR="00B840DE" w:rsidRDefault="00B840DE" w:rsidP="00B840DE">
      <w:pPr>
        <w:numPr>
          <w:ilvl w:val="0"/>
          <w:numId w:val="2"/>
        </w:numPr>
        <w:spacing w:before="0"/>
        <w:ind w:left="425" w:hanging="425"/>
        <w:rPr>
          <w:rFonts w:ascii="Arial Narrow" w:hAnsi="Arial Narrow" w:cs="Tahoma"/>
          <w:i/>
          <w:color w:val="00000A"/>
        </w:rPr>
      </w:pPr>
      <w:r>
        <w:rPr>
          <w:rFonts w:ascii="Arial Narrow" w:hAnsi="Arial Narrow" w:cs="Tahoma"/>
          <w:i/>
          <w:color w:val="00000A"/>
        </w:rPr>
        <w:t xml:space="preserve">Obbligazioni non quotate su mercati regolamentati </w:t>
      </w:r>
    </w:p>
    <w:p w14:paraId="1CBC6F56" w14:textId="77777777" w:rsidR="00B840DE" w:rsidRDefault="00B840DE" w:rsidP="00B840DE">
      <w:pPr>
        <w:numPr>
          <w:ilvl w:val="0"/>
          <w:numId w:val="2"/>
        </w:numPr>
        <w:spacing w:before="0"/>
        <w:ind w:left="425" w:hanging="425"/>
        <w:rPr>
          <w:rFonts w:ascii="Arial Narrow" w:hAnsi="Arial Narrow" w:cs="Tahoma"/>
          <w:i/>
          <w:color w:val="00000A"/>
        </w:rPr>
      </w:pPr>
      <w:r>
        <w:rPr>
          <w:rFonts w:ascii="Arial Narrow" w:hAnsi="Arial Narrow" w:cs="Tahoma"/>
          <w:i/>
          <w:color w:val="00000A"/>
        </w:rPr>
        <w:t xml:space="preserve"> Obbligazioni di propria emissione quotate su sistemi multilaterali di negoziazione (MTF)</w:t>
      </w:r>
    </w:p>
    <w:p w14:paraId="0407F244" w14:textId="77777777" w:rsidR="00B840DE" w:rsidRDefault="00B840DE" w:rsidP="00B840DE">
      <w:pPr>
        <w:numPr>
          <w:ilvl w:val="0"/>
          <w:numId w:val="2"/>
        </w:numPr>
        <w:spacing w:before="0"/>
        <w:ind w:left="425" w:hanging="425"/>
        <w:rPr>
          <w:rFonts w:ascii="Arial Narrow" w:hAnsi="Arial Narrow" w:cs="Tahoma"/>
          <w:i/>
          <w:color w:val="00000A"/>
        </w:rPr>
      </w:pPr>
      <w:r>
        <w:rPr>
          <w:rFonts w:ascii="Arial Narrow" w:hAnsi="Arial Narrow" w:cs="Tahoma"/>
          <w:i/>
          <w:color w:val="00000A"/>
        </w:rPr>
        <w:t>Derivati quotati sui mercati regolamentati</w:t>
      </w:r>
    </w:p>
    <w:p w14:paraId="3FE5BAC6" w14:textId="77777777" w:rsidR="00B840DE" w:rsidRDefault="00B840DE" w:rsidP="00B840DE">
      <w:pPr>
        <w:numPr>
          <w:ilvl w:val="0"/>
          <w:numId w:val="2"/>
        </w:numPr>
        <w:spacing w:before="0"/>
        <w:ind w:left="425" w:hanging="425"/>
        <w:rPr>
          <w:rFonts w:ascii="Arial Narrow" w:hAnsi="Arial Narrow" w:cs="Tahoma"/>
          <w:i/>
          <w:color w:val="00000A"/>
        </w:rPr>
      </w:pPr>
      <w:r>
        <w:rPr>
          <w:rFonts w:ascii="Arial Narrow" w:hAnsi="Arial Narrow" w:cs="Tahoma"/>
          <w:i/>
          <w:color w:val="00000A"/>
        </w:rPr>
        <w:t>Derivati non quotati su mercati regolamentati</w:t>
      </w:r>
    </w:p>
    <w:p w14:paraId="6B3B0DE0" w14:textId="77777777" w:rsidR="00841B76" w:rsidRPr="00841B76" w:rsidRDefault="00841B76" w:rsidP="00841B76">
      <w:pPr>
        <w:spacing w:before="0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lastRenderedPageBreak/>
        <w:t>La Banca</w:t>
      </w:r>
      <w:r>
        <w:rPr>
          <w:rFonts w:ascii="Arial Narrow" w:hAnsi="Arial Narrow" w:cs="Tahoma"/>
          <w:iCs/>
          <w:color w:val="00000A"/>
        </w:rPr>
        <w:t xml:space="preserve"> </w:t>
      </w:r>
      <w:r w:rsidRPr="00841B76">
        <w:rPr>
          <w:rFonts w:ascii="Arial Narrow" w:hAnsi="Arial Narrow" w:cs="Tahoma"/>
          <w:iCs/>
          <w:color w:val="00000A"/>
        </w:rPr>
        <w:t xml:space="preserve">valuta che potrebbero verificarsi </w:t>
      </w:r>
      <w:r w:rsidRPr="008B4248">
        <w:rPr>
          <w:rFonts w:ascii="Arial Narrow" w:hAnsi="Arial Narrow" w:cs="Tahoma"/>
          <w:b/>
          <w:iCs/>
          <w:color w:val="00000A"/>
        </w:rPr>
        <w:t>potenziali conflitti di interesse</w:t>
      </w:r>
      <w:r w:rsidRPr="00841B76">
        <w:rPr>
          <w:rFonts w:ascii="Arial Narrow" w:hAnsi="Arial Narrow" w:cs="Tahoma"/>
          <w:iCs/>
          <w:color w:val="00000A"/>
        </w:rPr>
        <w:t xml:space="preserve"> ogni qualvolta i servizi di investimento erogati a favore della clientela si riferiscano a strumenti finanziari emessi dalla Banca stessa, ovvero da soggetti nei confronti dei quali </w:t>
      </w:r>
      <w:smartTag w:uri="urn:schemas-microsoft-com:office:smarttags" w:element="PersonName">
        <w:smartTagPr>
          <w:attr w:name="ProductID" w:val="la Banca"/>
        </w:smartTagPr>
        <w:r w:rsidRPr="00841B76">
          <w:rPr>
            <w:rFonts w:ascii="Arial Narrow" w:hAnsi="Arial Narrow" w:cs="Tahoma"/>
            <w:iCs/>
            <w:color w:val="00000A"/>
          </w:rPr>
          <w:t>la Banca</w:t>
        </w:r>
      </w:smartTag>
      <w:r w:rsidRPr="00841B76">
        <w:rPr>
          <w:rFonts w:ascii="Arial Narrow" w:hAnsi="Arial Narrow" w:cs="Tahoma"/>
          <w:iCs/>
          <w:color w:val="00000A"/>
        </w:rPr>
        <w:t xml:space="preserve"> presenta interessi di diversa natura:</w:t>
      </w:r>
    </w:p>
    <w:p w14:paraId="5390434F" w14:textId="77777777" w:rsidR="00841B76" w:rsidRPr="00841B76" w:rsidRDefault="00841B76" w:rsidP="00841B76">
      <w:pPr>
        <w:numPr>
          <w:ilvl w:val="2"/>
          <w:numId w:val="3"/>
        </w:numPr>
        <w:tabs>
          <w:tab w:val="clear" w:pos="1620"/>
        </w:tabs>
        <w:suppressAutoHyphens w:val="0"/>
        <w:spacing w:before="0"/>
        <w:ind w:left="714" w:hanging="357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 xml:space="preserve">interesse a sviluppare affari o rapporti commerciali; </w:t>
      </w:r>
    </w:p>
    <w:p w14:paraId="60730E21" w14:textId="77777777" w:rsidR="00841B76" w:rsidRPr="00841B76" w:rsidRDefault="00841B76" w:rsidP="00841B76">
      <w:pPr>
        <w:numPr>
          <w:ilvl w:val="2"/>
          <w:numId w:val="3"/>
        </w:numPr>
        <w:tabs>
          <w:tab w:val="clear" w:pos="1620"/>
        </w:tabs>
        <w:suppressAutoHyphens w:val="0"/>
        <w:spacing w:before="0"/>
        <w:ind w:left="714" w:hanging="357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 xml:space="preserve">interesse a variare la propria posizione creditizia; </w:t>
      </w:r>
    </w:p>
    <w:p w14:paraId="38F1FF6D" w14:textId="77777777" w:rsidR="00841B76" w:rsidRPr="00841B76" w:rsidRDefault="00841B76" w:rsidP="00841B76">
      <w:pPr>
        <w:numPr>
          <w:ilvl w:val="2"/>
          <w:numId w:val="3"/>
        </w:numPr>
        <w:tabs>
          <w:tab w:val="clear" w:pos="1620"/>
        </w:tabs>
        <w:suppressAutoHyphens w:val="0"/>
        <w:spacing w:before="0"/>
        <w:ind w:left="714" w:hanging="357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>interesse ad acquisire informazioni confidenziali.</w:t>
      </w:r>
    </w:p>
    <w:p w14:paraId="36E0C09B" w14:textId="77777777" w:rsidR="00841B76" w:rsidRPr="00841B76" w:rsidRDefault="00841B76" w:rsidP="00841B76">
      <w:pPr>
        <w:spacing w:before="0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>Ne deriva la necessità</w:t>
      </w:r>
      <w:r w:rsidR="00EF4172">
        <w:rPr>
          <w:rFonts w:ascii="Arial Narrow" w:hAnsi="Arial Narrow" w:cs="Tahoma"/>
          <w:iCs/>
          <w:color w:val="00000A"/>
        </w:rPr>
        <w:t xml:space="preserve"> da parte della Banca</w:t>
      </w:r>
      <w:r w:rsidRPr="00841B76">
        <w:rPr>
          <w:rFonts w:ascii="Arial Narrow" w:hAnsi="Arial Narrow" w:cs="Tahoma"/>
          <w:iCs/>
          <w:color w:val="00000A"/>
        </w:rPr>
        <w:t xml:space="preserve"> di considerare l’insorgere di potenziali conflitti di interesse per </w:t>
      </w:r>
      <w:r w:rsidR="003D5F70">
        <w:rPr>
          <w:rFonts w:ascii="Arial Narrow" w:hAnsi="Arial Narrow" w:cs="Tahoma"/>
          <w:iCs/>
          <w:color w:val="00000A"/>
        </w:rPr>
        <w:t xml:space="preserve">talune </w:t>
      </w:r>
      <w:r w:rsidRPr="00841B76">
        <w:rPr>
          <w:rFonts w:ascii="Arial Narrow" w:hAnsi="Arial Narrow" w:cs="Tahoma"/>
          <w:iCs/>
          <w:color w:val="00000A"/>
        </w:rPr>
        <w:t>emissioni</w:t>
      </w:r>
      <w:r w:rsidR="00E751D8">
        <w:rPr>
          <w:rFonts w:ascii="Arial Narrow" w:hAnsi="Arial Narrow" w:cs="Tahoma"/>
          <w:iCs/>
          <w:color w:val="00000A"/>
        </w:rPr>
        <w:t xml:space="preserve"> e negoziazioni</w:t>
      </w:r>
      <w:r w:rsidRPr="00841B76">
        <w:rPr>
          <w:rFonts w:ascii="Arial Narrow" w:hAnsi="Arial Narrow" w:cs="Tahoma"/>
          <w:iCs/>
          <w:color w:val="00000A"/>
        </w:rPr>
        <w:t xml:space="preserve"> di strumenti finanziari</w:t>
      </w:r>
      <w:r w:rsidR="00DE3663">
        <w:rPr>
          <w:rFonts w:ascii="Arial Narrow" w:hAnsi="Arial Narrow" w:cs="Tahoma"/>
          <w:iCs/>
          <w:color w:val="00000A"/>
        </w:rPr>
        <w:t xml:space="preserve">, con l’adozione </w:t>
      </w:r>
      <w:r w:rsidR="00E751D8">
        <w:rPr>
          <w:rFonts w:ascii="Arial Narrow" w:hAnsi="Arial Narrow" w:cs="Tahoma"/>
          <w:iCs/>
          <w:color w:val="00000A"/>
        </w:rPr>
        <w:t xml:space="preserve">in primis </w:t>
      </w:r>
      <w:r w:rsidR="00DE3663">
        <w:rPr>
          <w:rFonts w:ascii="Arial Narrow" w:hAnsi="Arial Narrow" w:cs="Tahoma"/>
          <w:iCs/>
          <w:color w:val="00000A"/>
        </w:rPr>
        <w:t xml:space="preserve">di misure organizzative atte a </w:t>
      </w:r>
      <w:r w:rsidR="00593A64">
        <w:rPr>
          <w:rFonts w:ascii="Arial Narrow" w:hAnsi="Arial Narrow" w:cs="Tahoma"/>
          <w:iCs/>
          <w:color w:val="00000A"/>
        </w:rPr>
        <w:t xml:space="preserve">prevenire ed a </w:t>
      </w:r>
      <w:r w:rsidR="00DE3663">
        <w:rPr>
          <w:rFonts w:ascii="Arial Narrow" w:hAnsi="Arial Narrow" w:cs="Tahoma"/>
          <w:iCs/>
          <w:color w:val="00000A"/>
        </w:rPr>
        <w:t>mitigarne il rischio</w:t>
      </w:r>
      <w:r w:rsidR="00E751D8">
        <w:rPr>
          <w:rFonts w:ascii="Arial Narrow" w:hAnsi="Arial Narrow" w:cs="Tahoma"/>
          <w:iCs/>
          <w:color w:val="00000A"/>
        </w:rPr>
        <w:t xml:space="preserve"> nonché con la fornitura di idonea informativa alla clientela</w:t>
      </w:r>
      <w:r w:rsidRPr="00841B76">
        <w:rPr>
          <w:rFonts w:ascii="Arial Narrow" w:hAnsi="Arial Narrow" w:cs="Tahoma"/>
          <w:iCs/>
          <w:color w:val="00000A"/>
        </w:rPr>
        <w:t>:</w:t>
      </w:r>
    </w:p>
    <w:p w14:paraId="6749C323" w14:textId="77777777" w:rsidR="00841B76" w:rsidRPr="00841B76" w:rsidRDefault="00841B76" w:rsidP="00841B76">
      <w:pPr>
        <w:numPr>
          <w:ilvl w:val="0"/>
          <w:numId w:val="4"/>
        </w:numPr>
        <w:suppressAutoHyphens w:val="0"/>
        <w:spacing w:before="0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>delle imprese affidate, purché l’affidamento loro concesso risulti rilevante;</w:t>
      </w:r>
    </w:p>
    <w:p w14:paraId="13D004D6" w14:textId="77777777" w:rsidR="00841B76" w:rsidRPr="00841B76" w:rsidRDefault="00841B76" w:rsidP="00841B76">
      <w:pPr>
        <w:numPr>
          <w:ilvl w:val="0"/>
          <w:numId w:val="4"/>
        </w:numPr>
        <w:suppressAutoHyphens w:val="0"/>
        <w:spacing w:before="0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>di fornitori strategici della Banca;</w:t>
      </w:r>
    </w:p>
    <w:p w14:paraId="2E564788" w14:textId="77777777" w:rsidR="00841B76" w:rsidRPr="00841B76" w:rsidRDefault="00841B76" w:rsidP="00841B76">
      <w:pPr>
        <w:numPr>
          <w:ilvl w:val="0"/>
          <w:numId w:val="4"/>
        </w:numPr>
        <w:suppressAutoHyphens w:val="0"/>
        <w:spacing w:before="0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>di società con cui la Banca ha rapporti di affari e/o partecipazioni in altre società;</w:t>
      </w:r>
    </w:p>
    <w:p w14:paraId="3F02F251" w14:textId="3AA9B40A" w:rsidR="00841B76" w:rsidRPr="006E7362" w:rsidRDefault="00841B76" w:rsidP="00841B76">
      <w:pPr>
        <w:numPr>
          <w:ilvl w:val="0"/>
          <w:numId w:val="4"/>
        </w:numPr>
        <w:suppressAutoHyphens w:val="0"/>
        <w:spacing w:before="0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 xml:space="preserve">delle società facenti parte del </w:t>
      </w:r>
      <w:r w:rsidR="00BA5D81" w:rsidRPr="00685FD7">
        <w:rPr>
          <w:rFonts w:ascii="Arial Narrow" w:hAnsi="Arial Narrow" w:cs="Tahoma"/>
          <w:b/>
          <w:iCs/>
          <w:color w:val="00000A"/>
        </w:rPr>
        <w:t>G</w:t>
      </w:r>
      <w:r w:rsidRPr="00685FD7">
        <w:rPr>
          <w:rFonts w:ascii="Arial Narrow" w:hAnsi="Arial Narrow" w:cs="Tahoma"/>
          <w:b/>
          <w:iCs/>
          <w:color w:val="00000A"/>
        </w:rPr>
        <w:t>ruppo Bancario Iccrea</w:t>
      </w:r>
      <w:r w:rsidR="006E7362">
        <w:rPr>
          <w:rFonts w:ascii="Arial Narrow" w:hAnsi="Arial Narrow" w:cs="Tahoma"/>
          <w:b/>
          <w:iCs/>
          <w:color w:val="00000A"/>
        </w:rPr>
        <w:t xml:space="preserve">, </w:t>
      </w:r>
      <w:r w:rsidR="006E7362">
        <w:rPr>
          <w:rFonts w:ascii="Arial Narrow" w:hAnsi="Arial Narrow" w:cs="Tahoma"/>
          <w:iCs/>
          <w:color w:val="00000A"/>
        </w:rPr>
        <w:t>a maggio</w:t>
      </w:r>
      <w:r w:rsidR="006E7362" w:rsidRPr="006E7362">
        <w:rPr>
          <w:rFonts w:ascii="Arial Narrow" w:hAnsi="Arial Narrow" w:cs="Tahoma"/>
          <w:iCs/>
          <w:color w:val="00000A"/>
        </w:rPr>
        <w:t>re</w:t>
      </w:r>
      <w:r w:rsidR="00685FD7">
        <w:rPr>
          <w:rFonts w:ascii="Arial Narrow" w:hAnsi="Arial Narrow" w:cs="Tahoma"/>
          <w:iCs/>
          <w:color w:val="00000A"/>
        </w:rPr>
        <w:t xml:space="preserve"> </w:t>
      </w:r>
      <w:r w:rsidR="006E7362" w:rsidRPr="006E7362">
        <w:rPr>
          <w:rFonts w:ascii="Arial Narrow" w:hAnsi="Arial Narrow" w:cs="Tahoma"/>
          <w:iCs/>
          <w:color w:val="00000A"/>
        </w:rPr>
        <w:t>ragione</w:t>
      </w:r>
      <w:r w:rsidR="006E7362">
        <w:rPr>
          <w:rFonts w:ascii="Arial Narrow" w:hAnsi="Arial Narrow" w:cs="Tahoma"/>
          <w:iCs/>
          <w:color w:val="00000A"/>
        </w:rPr>
        <w:t xml:space="preserve"> allorquando svolge il ruolo di </w:t>
      </w:r>
      <w:r w:rsidR="006E7362" w:rsidRPr="00AA27D4">
        <w:rPr>
          <w:rFonts w:ascii="Arial Narrow" w:hAnsi="Arial Narrow" w:cs="Tahoma"/>
          <w:i/>
          <w:iCs/>
          <w:color w:val="00000A"/>
        </w:rPr>
        <w:t>Broker</w:t>
      </w:r>
      <w:r w:rsidR="006E7362">
        <w:rPr>
          <w:rFonts w:ascii="Arial Narrow" w:hAnsi="Arial Narrow" w:cs="Tahoma"/>
          <w:iCs/>
          <w:color w:val="00000A"/>
        </w:rPr>
        <w:t xml:space="preserve"> unico della </w:t>
      </w:r>
      <w:r w:rsidR="006E7362" w:rsidRPr="00AA27D4">
        <w:rPr>
          <w:rFonts w:ascii="Arial Narrow" w:hAnsi="Arial Narrow" w:cs="Tahoma"/>
          <w:i/>
          <w:iCs/>
          <w:color w:val="00000A"/>
        </w:rPr>
        <w:t>Categoria BCC affiliate</w:t>
      </w:r>
      <w:r w:rsidRPr="006E7362">
        <w:rPr>
          <w:rFonts w:ascii="Arial Narrow" w:hAnsi="Arial Narrow" w:cs="Tahoma"/>
          <w:iCs/>
          <w:color w:val="00000A"/>
        </w:rPr>
        <w:t>;</w:t>
      </w:r>
    </w:p>
    <w:p w14:paraId="6F16D2F5" w14:textId="77777777" w:rsidR="00841B76" w:rsidRDefault="00841B76" w:rsidP="00841B76">
      <w:pPr>
        <w:numPr>
          <w:ilvl w:val="0"/>
          <w:numId w:val="4"/>
        </w:numPr>
        <w:suppressAutoHyphens w:val="0"/>
        <w:spacing w:before="0"/>
        <w:rPr>
          <w:rFonts w:ascii="Arial Narrow" w:hAnsi="Arial Narrow" w:cs="Tahoma"/>
          <w:iCs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>delle società con cui la Banca ha accord</w:t>
      </w:r>
      <w:r w:rsidR="006E7362">
        <w:rPr>
          <w:rFonts w:ascii="Arial Narrow" w:hAnsi="Arial Narrow" w:cs="Tahoma"/>
          <w:iCs/>
          <w:color w:val="00000A"/>
        </w:rPr>
        <w:t>i di collocamento/distribuzione.</w:t>
      </w:r>
    </w:p>
    <w:p w14:paraId="59A7F06C" w14:textId="77777777" w:rsidR="006C361A" w:rsidRDefault="006C361A" w:rsidP="006C361A">
      <w:pPr>
        <w:pStyle w:val="Paragrafoelenco"/>
        <w:suppressAutoHyphens w:val="0"/>
        <w:spacing w:before="0" w:line="276" w:lineRule="auto"/>
        <w:ind w:left="567"/>
        <w:rPr>
          <w:rFonts w:ascii="Arial Narrow" w:hAnsi="Arial Narrow" w:cs="Tahoma"/>
          <w:iCs/>
          <w:color w:val="00000A"/>
        </w:rPr>
      </w:pPr>
    </w:p>
    <w:p w14:paraId="1ABF3CF9" w14:textId="77777777" w:rsidR="006C361A" w:rsidRPr="006C361A" w:rsidRDefault="0041015A" w:rsidP="006C361A">
      <w:pPr>
        <w:pStyle w:val="Paragrafoelenco"/>
        <w:suppressAutoHyphens w:val="0"/>
        <w:spacing w:before="0" w:line="276" w:lineRule="auto"/>
        <w:ind w:left="0"/>
        <w:rPr>
          <w:rFonts w:ascii="Arial Narrow" w:hAnsi="Arial Narrow" w:cs="Tahoma"/>
          <w:iCs/>
          <w:color w:val="00000A"/>
        </w:rPr>
      </w:pPr>
      <w:r w:rsidRPr="0041015A">
        <w:rPr>
          <w:rFonts w:ascii="Arial Narrow" w:hAnsi="Arial Narrow" w:cs="Tahoma"/>
          <w:iCs/>
          <w:color w:val="00000A"/>
        </w:rPr>
        <w:t xml:space="preserve">In applicazione dell’art. 33, comma 1-bis, del </w:t>
      </w:r>
      <w:r w:rsidR="0045274F">
        <w:rPr>
          <w:rFonts w:ascii="Arial Narrow" w:hAnsi="Arial Narrow" w:cs="Tahoma"/>
          <w:iCs/>
          <w:color w:val="00000A"/>
        </w:rPr>
        <w:t>Testo Unico Bancario</w:t>
      </w:r>
      <w:r w:rsidR="0045274F" w:rsidRPr="0041015A">
        <w:rPr>
          <w:rFonts w:ascii="Arial Narrow" w:hAnsi="Arial Narrow" w:cs="Tahoma"/>
          <w:iCs/>
          <w:color w:val="00000A"/>
        </w:rPr>
        <w:t xml:space="preserve"> </w:t>
      </w:r>
      <w:r w:rsidRPr="0041015A">
        <w:rPr>
          <w:rFonts w:ascii="Arial Narrow" w:hAnsi="Arial Narrow" w:cs="Tahoma"/>
          <w:iCs/>
          <w:color w:val="00000A"/>
        </w:rPr>
        <w:t xml:space="preserve">TUB e delle relative disposizioni attuative della Banca d’Italia, la Banca è tenuta </w:t>
      </w:r>
      <w:proofErr w:type="gramStart"/>
      <w:r w:rsidRPr="0041015A">
        <w:rPr>
          <w:rFonts w:ascii="Arial Narrow" w:hAnsi="Arial Narrow" w:cs="Tahoma"/>
          <w:iCs/>
          <w:color w:val="00000A"/>
        </w:rPr>
        <w:t>ad</w:t>
      </w:r>
      <w:proofErr w:type="gramEnd"/>
      <w:r w:rsidRPr="0041015A">
        <w:rPr>
          <w:rFonts w:ascii="Arial Narrow" w:hAnsi="Arial Narrow" w:cs="Tahoma"/>
          <w:iCs/>
          <w:color w:val="00000A"/>
        </w:rPr>
        <w:t xml:space="preserve"> aderire a un Gruppo Bancario Cooperativo (GBC) ai sensi dell’art. 37-bis de</w:t>
      </w:r>
      <w:r w:rsidR="0045274F">
        <w:rPr>
          <w:rFonts w:ascii="Arial Narrow" w:hAnsi="Arial Narrow" w:cs="Tahoma"/>
          <w:iCs/>
          <w:color w:val="00000A"/>
        </w:rPr>
        <w:t>l Testo Unico Bancario</w:t>
      </w:r>
      <w:r w:rsidRPr="0041015A">
        <w:rPr>
          <w:rFonts w:ascii="Arial Narrow" w:hAnsi="Arial Narrow" w:cs="Tahoma"/>
          <w:iCs/>
          <w:color w:val="00000A"/>
        </w:rPr>
        <w:t xml:space="preserve"> </w:t>
      </w:r>
      <w:r w:rsidR="0045274F">
        <w:rPr>
          <w:rFonts w:ascii="Arial Narrow" w:hAnsi="Arial Narrow" w:cs="Tahoma"/>
          <w:iCs/>
          <w:color w:val="00000A"/>
        </w:rPr>
        <w:t>(</w:t>
      </w:r>
      <w:r w:rsidRPr="0041015A">
        <w:rPr>
          <w:rFonts w:ascii="Arial Narrow" w:hAnsi="Arial Narrow" w:cs="Tahoma"/>
          <w:iCs/>
          <w:color w:val="00000A"/>
        </w:rPr>
        <w:t>TUB</w:t>
      </w:r>
      <w:r w:rsidR="0045274F">
        <w:rPr>
          <w:rFonts w:ascii="Arial Narrow" w:hAnsi="Arial Narrow" w:cs="Tahoma"/>
          <w:iCs/>
          <w:color w:val="00000A"/>
        </w:rPr>
        <w:t>)</w:t>
      </w:r>
      <w:r w:rsidRPr="0041015A">
        <w:rPr>
          <w:rFonts w:ascii="Arial Narrow" w:hAnsi="Arial Narrow" w:cs="Tahoma"/>
          <w:iCs/>
          <w:color w:val="00000A"/>
        </w:rPr>
        <w:t xml:space="preserve">. </w:t>
      </w:r>
      <w:r w:rsidR="006C361A">
        <w:rPr>
          <w:rFonts w:ascii="Arial Narrow" w:hAnsi="Arial Narrow" w:cs="Tahoma"/>
          <w:iCs/>
          <w:color w:val="00000A"/>
        </w:rPr>
        <w:t>In merito</w:t>
      </w:r>
      <w:r w:rsidR="00BA5D81">
        <w:rPr>
          <w:rFonts w:ascii="Arial Narrow" w:hAnsi="Arial Narrow" w:cs="Tahoma"/>
          <w:iCs/>
          <w:color w:val="00000A"/>
        </w:rPr>
        <w:t>,</w:t>
      </w:r>
      <w:r w:rsidR="006C361A">
        <w:rPr>
          <w:rFonts w:ascii="Arial Narrow" w:hAnsi="Arial Narrow" w:cs="Tahoma"/>
          <w:iCs/>
          <w:color w:val="00000A"/>
        </w:rPr>
        <w:t xml:space="preserve"> la Banca dichiara, ora, </w:t>
      </w:r>
      <w:r w:rsidR="006C361A" w:rsidRPr="006C361A">
        <w:rPr>
          <w:rFonts w:ascii="Arial Narrow" w:hAnsi="Arial Narrow" w:cs="Tahoma"/>
          <w:iCs/>
          <w:color w:val="00000A"/>
        </w:rPr>
        <w:t xml:space="preserve">di essere soggetta all’attività di direzione e coordinamento di ICCREA BANCA S.p.A., con sede in Roma, Via Lucrezia Romana 41/47, iscritta all’Albo delle banche al n. 5251, </w:t>
      </w:r>
      <w:r w:rsidR="006C361A" w:rsidRPr="006C361A">
        <w:rPr>
          <w:rFonts w:ascii="Arial Narrow" w:hAnsi="Arial Narrow" w:cs="Tahoma"/>
          <w:b/>
          <w:iCs/>
          <w:color w:val="00000A"/>
        </w:rPr>
        <w:t>Capogruppo</w:t>
      </w:r>
      <w:r w:rsidR="006C361A" w:rsidRPr="006C361A">
        <w:rPr>
          <w:rFonts w:ascii="Arial Narrow" w:hAnsi="Arial Narrow" w:cs="Tahoma"/>
          <w:iCs/>
          <w:color w:val="00000A"/>
        </w:rPr>
        <w:t xml:space="preserve"> del </w:t>
      </w:r>
      <w:r w:rsidR="00CE493C">
        <w:rPr>
          <w:rFonts w:ascii="Arial Narrow" w:hAnsi="Arial Narrow" w:cs="Tahoma"/>
          <w:b/>
          <w:iCs/>
          <w:color w:val="00000A"/>
        </w:rPr>
        <w:t>Gruppo B</w:t>
      </w:r>
      <w:r w:rsidR="006C361A" w:rsidRPr="006C361A">
        <w:rPr>
          <w:rFonts w:ascii="Arial Narrow" w:hAnsi="Arial Narrow" w:cs="Tahoma"/>
          <w:b/>
          <w:iCs/>
          <w:color w:val="00000A"/>
        </w:rPr>
        <w:t>ancario Cooperativo Iccrea</w:t>
      </w:r>
      <w:r w:rsidR="00CE493C">
        <w:rPr>
          <w:rFonts w:ascii="Arial Narrow" w:hAnsi="Arial Narrow" w:cs="Tahoma"/>
          <w:iCs/>
          <w:color w:val="00000A"/>
        </w:rPr>
        <w:t>, iscritto all’Albo dei Gruppi B</w:t>
      </w:r>
      <w:r w:rsidR="006C361A" w:rsidRPr="006C361A">
        <w:rPr>
          <w:rFonts w:ascii="Arial Narrow" w:hAnsi="Arial Narrow" w:cs="Tahoma"/>
          <w:iCs/>
          <w:color w:val="00000A"/>
        </w:rPr>
        <w:t>ancari dal 4 marzo 2019.</w:t>
      </w:r>
      <w:r w:rsidR="00BA5D81">
        <w:rPr>
          <w:rFonts w:ascii="Arial Narrow" w:hAnsi="Arial Narrow" w:cs="Tahoma"/>
          <w:iCs/>
          <w:color w:val="00000A"/>
        </w:rPr>
        <w:t xml:space="preserve"> La Banca è dunque affiliata/aderente a detto Gruppo.</w:t>
      </w:r>
    </w:p>
    <w:p w14:paraId="3592D8DA" w14:textId="77777777" w:rsidR="0041015A" w:rsidRDefault="0041015A" w:rsidP="002E2C17">
      <w:pPr>
        <w:spacing w:before="0"/>
        <w:rPr>
          <w:rFonts w:ascii="Arial Narrow" w:hAnsi="Arial Narrow" w:cs="Tahoma"/>
          <w:iCs/>
          <w:color w:val="00000A"/>
        </w:rPr>
      </w:pPr>
    </w:p>
    <w:p w14:paraId="5D95E61B" w14:textId="77777777" w:rsidR="002E2C17" w:rsidRPr="006C361A" w:rsidRDefault="002E2C17" w:rsidP="002E2C17">
      <w:pPr>
        <w:suppressAutoHyphens w:val="0"/>
        <w:spacing w:before="0"/>
        <w:rPr>
          <w:rFonts w:ascii="Arial Narrow" w:hAnsi="Arial Narrow" w:cs="Tahoma"/>
          <w:iCs/>
          <w:color w:val="00000A"/>
        </w:rPr>
      </w:pPr>
      <w:r w:rsidRPr="006C361A">
        <w:rPr>
          <w:rFonts w:ascii="Arial Narrow" w:hAnsi="Arial Narrow" w:cs="Tahoma"/>
          <w:iCs/>
          <w:color w:val="00000A"/>
        </w:rPr>
        <w:t xml:space="preserve">Esiste </w:t>
      </w:r>
      <w:r w:rsidR="006C361A">
        <w:rPr>
          <w:rFonts w:ascii="Arial Narrow" w:hAnsi="Arial Narrow" w:cs="Tahoma"/>
          <w:iCs/>
          <w:color w:val="00000A"/>
        </w:rPr>
        <w:t xml:space="preserve">pertanto </w:t>
      </w:r>
      <w:r w:rsidRPr="006C361A">
        <w:rPr>
          <w:rFonts w:ascii="Arial Narrow" w:hAnsi="Arial Narrow" w:cs="Tahoma"/>
          <w:iCs/>
          <w:color w:val="00000A"/>
        </w:rPr>
        <w:t>un</w:t>
      </w:r>
      <w:r w:rsidR="0047509A">
        <w:rPr>
          <w:rFonts w:ascii="Arial Narrow" w:hAnsi="Arial Narrow" w:cs="Tahoma"/>
          <w:iCs/>
          <w:color w:val="00000A"/>
        </w:rPr>
        <w:t xml:space="preserve"> potenziale</w:t>
      </w:r>
      <w:r w:rsidRPr="006C361A">
        <w:rPr>
          <w:rFonts w:ascii="Arial Narrow" w:hAnsi="Arial Narrow" w:cs="Tahoma"/>
          <w:iCs/>
          <w:color w:val="00000A"/>
        </w:rPr>
        <w:t xml:space="preserve"> conflitto di interesse</w:t>
      </w:r>
      <w:r w:rsidR="0047509A">
        <w:rPr>
          <w:rFonts w:ascii="Arial Narrow" w:hAnsi="Arial Narrow" w:cs="Tahoma"/>
          <w:iCs/>
          <w:color w:val="00000A"/>
        </w:rPr>
        <w:t xml:space="preserve"> mitigato da misure organizzative appropriate</w:t>
      </w:r>
      <w:r w:rsidRPr="006C361A">
        <w:rPr>
          <w:rFonts w:ascii="Arial Narrow" w:hAnsi="Arial Narrow" w:cs="Tahoma"/>
          <w:iCs/>
          <w:color w:val="00000A"/>
        </w:rPr>
        <w:t xml:space="preserve"> tra la Banca ed il broker selezionato ICCREA Banca, in virtù del ruolo di </w:t>
      </w:r>
      <w:r w:rsidR="006C361A">
        <w:rPr>
          <w:rFonts w:ascii="Arial Narrow" w:hAnsi="Arial Narrow" w:cs="Tahoma"/>
          <w:iCs/>
          <w:color w:val="00000A"/>
        </w:rPr>
        <w:t>C</w:t>
      </w:r>
      <w:r w:rsidRPr="006C361A">
        <w:rPr>
          <w:rFonts w:ascii="Arial Narrow" w:hAnsi="Arial Narrow" w:cs="Tahoma"/>
          <w:iCs/>
          <w:color w:val="00000A"/>
        </w:rPr>
        <w:t>apogruppo</w:t>
      </w:r>
      <w:r w:rsidR="006C361A">
        <w:rPr>
          <w:rFonts w:ascii="Arial Narrow" w:hAnsi="Arial Narrow" w:cs="Tahoma"/>
          <w:iCs/>
          <w:color w:val="00000A"/>
        </w:rPr>
        <w:t>, e comunque in virtù di funzionalità espletate</w:t>
      </w:r>
      <w:r w:rsidR="00E55790">
        <w:rPr>
          <w:rFonts w:ascii="Arial Narrow" w:hAnsi="Arial Narrow" w:cs="Tahoma"/>
          <w:iCs/>
          <w:color w:val="00000A"/>
        </w:rPr>
        <w:t xml:space="preserve"> nei confronti delle Banche di Credito Cooperativo (BCC), </w:t>
      </w:r>
      <w:r w:rsidR="006C361A">
        <w:rPr>
          <w:rFonts w:ascii="Arial Narrow" w:hAnsi="Arial Narrow" w:cs="Tahoma"/>
          <w:iCs/>
          <w:color w:val="00000A"/>
        </w:rPr>
        <w:t>quale Istituto Centrale di Categoria</w:t>
      </w:r>
      <w:r w:rsidR="00CE493C">
        <w:rPr>
          <w:rFonts w:ascii="Arial Narrow" w:hAnsi="Arial Narrow" w:cs="Tahoma"/>
          <w:iCs/>
          <w:color w:val="00000A"/>
        </w:rPr>
        <w:t xml:space="preserve"> del Credito Cooperativo</w:t>
      </w:r>
      <w:r w:rsidR="006C361A">
        <w:rPr>
          <w:rFonts w:ascii="Arial Narrow" w:hAnsi="Arial Narrow" w:cs="Tahoma"/>
          <w:iCs/>
          <w:color w:val="00000A"/>
        </w:rPr>
        <w:t>.</w:t>
      </w:r>
    </w:p>
    <w:p w14:paraId="5AA97B84" w14:textId="77777777" w:rsidR="002E2C17" w:rsidRPr="006C361A" w:rsidRDefault="002E2C17" w:rsidP="002E2C17">
      <w:pPr>
        <w:suppressAutoHyphens w:val="0"/>
        <w:spacing w:before="0"/>
        <w:rPr>
          <w:rFonts w:ascii="Arial Narrow" w:hAnsi="Arial Narrow" w:cs="Tahoma"/>
          <w:iCs/>
          <w:color w:val="00000A"/>
        </w:rPr>
      </w:pPr>
      <w:r w:rsidRPr="006C361A">
        <w:rPr>
          <w:rFonts w:ascii="Arial Narrow" w:hAnsi="Arial Narrow" w:cs="Tahoma"/>
          <w:iCs/>
          <w:color w:val="00000A"/>
        </w:rPr>
        <w:t>Esiste</w:t>
      </w:r>
      <w:r w:rsidR="006C361A">
        <w:rPr>
          <w:rFonts w:ascii="Arial Narrow" w:hAnsi="Arial Narrow" w:cs="Tahoma"/>
          <w:iCs/>
          <w:color w:val="00000A"/>
        </w:rPr>
        <w:t xml:space="preserve"> inoltre</w:t>
      </w:r>
      <w:r w:rsidRPr="006C361A">
        <w:rPr>
          <w:rFonts w:ascii="Arial Narrow" w:hAnsi="Arial Narrow" w:cs="Tahoma"/>
          <w:iCs/>
          <w:color w:val="00000A"/>
        </w:rPr>
        <w:t xml:space="preserve"> un potenziale conflitto di interesse tra la Banca ed il Broker selezionato ICCREA Banca</w:t>
      </w:r>
      <w:r w:rsidR="00CE493C">
        <w:rPr>
          <w:rFonts w:ascii="Arial Narrow" w:hAnsi="Arial Narrow" w:cs="Tahoma"/>
          <w:iCs/>
          <w:color w:val="00000A"/>
        </w:rPr>
        <w:t xml:space="preserve"> </w:t>
      </w:r>
      <w:proofErr w:type="spellStart"/>
      <w:r w:rsidR="00CE493C">
        <w:rPr>
          <w:rFonts w:ascii="Arial Narrow" w:hAnsi="Arial Narrow" w:cs="Tahoma"/>
          <w:iCs/>
          <w:color w:val="00000A"/>
        </w:rPr>
        <w:t>S.p.A</w:t>
      </w:r>
      <w:proofErr w:type="spellEnd"/>
      <w:r w:rsidRPr="006C361A">
        <w:rPr>
          <w:rFonts w:ascii="Arial Narrow" w:hAnsi="Arial Narrow" w:cs="Tahoma"/>
          <w:iCs/>
          <w:color w:val="00000A"/>
        </w:rPr>
        <w:t xml:space="preserve">, </w:t>
      </w:r>
      <w:r w:rsidR="00E55790">
        <w:rPr>
          <w:rFonts w:ascii="Arial Narrow" w:hAnsi="Arial Narrow" w:cs="Tahoma"/>
          <w:iCs/>
          <w:color w:val="00000A"/>
        </w:rPr>
        <w:t xml:space="preserve">per effetto </w:t>
      </w:r>
      <w:r w:rsidRPr="006C361A">
        <w:rPr>
          <w:rFonts w:ascii="Arial Narrow" w:hAnsi="Arial Narrow" w:cs="Tahoma"/>
          <w:iCs/>
          <w:color w:val="00000A"/>
        </w:rPr>
        <w:t>delle partecipazioni azionarie possedute</w:t>
      </w:r>
      <w:r w:rsidR="00C13771">
        <w:rPr>
          <w:rFonts w:ascii="Arial Narrow" w:hAnsi="Arial Narrow" w:cs="Tahoma"/>
          <w:iCs/>
          <w:color w:val="00000A"/>
        </w:rPr>
        <w:t xml:space="preserve"> dalla Banca,</w:t>
      </w:r>
      <w:r w:rsidR="00B83109">
        <w:rPr>
          <w:rFonts w:ascii="Arial Narrow" w:hAnsi="Arial Narrow" w:cs="Tahoma"/>
          <w:iCs/>
          <w:color w:val="00000A"/>
        </w:rPr>
        <w:t xml:space="preserve"> </w:t>
      </w:r>
      <w:r w:rsidR="004066E7">
        <w:rPr>
          <w:rFonts w:ascii="Arial Narrow" w:hAnsi="Arial Narrow" w:cs="Tahoma"/>
          <w:iCs/>
          <w:color w:val="00000A"/>
        </w:rPr>
        <w:t>tuttavia</w:t>
      </w:r>
      <w:r w:rsidR="00B83109">
        <w:rPr>
          <w:rFonts w:ascii="Arial Narrow" w:hAnsi="Arial Narrow" w:cs="Tahoma"/>
          <w:iCs/>
          <w:color w:val="00000A"/>
        </w:rPr>
        <w:t xml:space="preserve"> </w:t>
      </w:r>
      <w:r w:rsidR="00C13771">
        <w:rPr>
          <w:rFonts w:ascii="Arial Narrow" w:hAnsi="Arial Narrow" w:cs="Tahoma"/>
          <w:iCs/>
          <w:color w:val="00000A"/>
        </w:rPr>
        <w:t>in percentuale marginale</w:t>
      </w:r>
      <w:r w:rsidR="00B83109">
        <w:rPr>
          <w:rFonts w:ascii="Arial Narrow" w:hAnsi="Arial Narrow" w:cs="Tahoma"/>
          <w:iCs/>
          <w:color w:val="00000A"/>
        </w:rPr>
        <w:t>.</w:t>
      </w:r>
    </w:p>
    <w:p w14:paraId="32F44B66" w14:textId="77777777" w:rsidR="002E2C17" w:rsidRPr="002E2C17" w:rsidRDefault="002E2C17" w:rsidP="002E2C17">
      <w:pPr>
        <w:suppressAutoHyphens w:val="0"/>
        <w:spacing w:before="0"/>
        <w:rPr>
          <w:rFonts w:ascii="Arial Narrow" w:hAnsi="Arial Narrow" w:cs="Tahoma"/>
          <w:iCs/>
          <w:color w:val="00000A"/>
        </w:rPr>
      </w:pPr>
      <w:r w:rsidRPr="006C361A">
        <w:rPr>
          <w:rFonts w:ascii="Arial Narrow" w:hAnsi="Arial Narrow" w:cs="Tahoma"/>
          <w:iCs/>
          <w:color w:val="00000A"/>
        </w:rPr>
        <w:t>La Banca dichiara non avere specifici accordi presi con la sede di esecuzione, anche raggiunte per il tramite di Iccrea Banca, riguardo ai pagamenti effettuati o ricevuti e agli sconti, riduzioni o</w:t>
      </w:r>
      <w:r w:rsidR="00A46FC8" w:rsidRPr="006C361A">
        <w:rPr>
          <w:rFonts w:ascii="Arial Narrow" w:hAnsi="Arial Narrow" w:cs="Tahoma"/>
          <w:iCs/>
          <w:color w:val="00000A"/>
        </w:rPr>
        <w:t xml:space="preserve"> benefici non monetari ottenuti</w:t>
      </w:r>
      <w:r w:rsidR="00A46FC8">
        <w:rPr>
          <w:rFonts w:ascii="Arial Narrow" w:hAnsi="Arial Narrow" w:cs="Tahoma"/>
          <w:iCs/>
          <w:color w:val="00000A"/>
        </w:rPr>
        <w:t>.</w:t>
      </w:r>
    </w:p>
    <w:p w14:paraId="60FD56BA" w14:textId="77777777" w:rsidR="002E2C17" w:rsidRPr="0041015A" w:rsidRDefault="002E2C17" w:rsidP="002E2C17">
      <w:pPr>
        <w:spacing w:before="0"/>
        <w:rPr>
          <w:rFonts w:ascii="Arial Narrow" w:hAnsi="Arial Narrow" w:cs="Tahoma"/>
          <w:iCs/>
          <w:color w:val="00000A"/>
        </w:rPr>
      </w:pPr>
    </w:p>
    <w:p w14:paraId="71F51321" w14:textId="77777777" w:rsidR="00675948" w:rsidRDefault="00675948">
      <w:pPr>
        <w:suppressAutoHyphens w:val="0"/>
        <w:spacing w:before="0"/>
        <w:jc w:val="left"/>
        <w:rPr>
          <w:rFonts w:ascii="Arial Narrow" w:hAnsi="Arial Narrow" w:cs="Arial"/>
          <w:b/>
          <w:color w:val="00000A"/>
        </w:rPr>
      </w:pPr>
      <w:r>
        <w:rPr>
          <w:rFonts w:ascii="Arial Narrow" w:hAnsi="Arial Narrow" w:cs="Arial"/>
          <w:b/>
          <w:color w:val="00000A"/>
        </w:rPr>
        <w:br w:type="page"/>
      </w:r>
    </w:p>
    <w:p w14:paraId="61EBD8F7" w14:textId="77777777" w:rsidR="00685FD7" w:rsidRDefault="00685FD7" w:rsidP="00685FD7">
      <w:pPr>
        <w:jc w:val="left"/>
        <w:rPr>
          <w:rFonts w:ascii="Arial Narrow" w:hAnsi="Arial Narrow" w:cs="Arial"/>
          <w:b/>
          <w:color w:val="00000A"/>
        </w:rPr>
      </w:pPr>
      <w:r>
        <w:rPr>
          <w:noProof/>
        </w:rPr>
        <w:lastRenderedPageBreak/>
        <w:drawing>
          <wp:inline distT="0" distB="0" distL="0" distR="0" wp14:anchorId="61E4BB88" wp14:editId="1EFB3DF5">
            <wp:extent cx="1857700" cy="564543"/>
            <wp:effectExtent l="0" t="0" r="9525" b="698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231" cy="583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F5EDD" w14:textId="77777777" w:rsidR="00685FD7" w:rsidRDefault="00685FD7" w:rsidP="00B57D63">
      <w:pPr>
        <w:jc w:val="center"/>
        <w:rPr>
          <w:rFonts w:ascii="Arial Narrow" w:hAnsi="Arial Narrow" w:cs="Arial"/>
          <w:b/>
          <w:color w:val="00000A"/>
        </w:rPr>
      </w:pPr>
    </w:p>
    <w:p w14:paraId="0D1703AE" w14:textId="77777777" w:rsidR="00B57D63" w:rsidRDefault="00B57D63" w:rsidP="00B57D63">
      <w:pPr>
        <w:jc w:val="center"/>
        <w:rPr>
          <w:rFonts w:ascii="Arial Narrow" w:hAnsi="Arial Narrow" w:cs="Arial"/>
          <w:b/>
          <w:color w:val="00000A"/>
        </w:rPr>
      </w:pPr>
      <w:r>
        <w:rPr>
          <w:rFonts w:ascii="Arial Narrow" w:hAnsi="Arial Narrow" w:cs="Arial"/>
          <w:b/>
          <w:color w:val="00000A"/>
        </w:rPr>
        <w:t xml:space="preserve">COMMENTI </w:t>
      </w:r>
      <w:r w:rsidRPr="00EF4172">
        <w:rPr>
          <w:rFonts w:ascii="Arial Narrow" w:hAnsi="Arial Narrow" w:cs="Arial"/>
          <w:b/>
          <w:color w:val="00000A"/>
        </w:rPr>
        <w:t xml:space="preserve">QUALITATIVI </w:t>
      </w:r>
      <w:r w:rsidR="00CC0ABD">
        <w:rPr>
          <w:rFonts w:ascii="Arial Narrow" w:hAnsi="Arial Narrow" w:cs="Arial"/>
          <w:b/>
          <w:i/>
          <w:color w:val="00000A"/>
        </w:rPr>
        <w:t>SEDE</w:t>
      </w:r>
      <w:r>
        <w:rPr>
          <w:rFonts w:ascii="Arial Narrow" w:hAnsi="Arial Narrow" w:cs="Arial"/>
          <w:b/>
          <w:i/>
          <w:color w:val="00000A"/>
        </w:rPr>
        <w:t xml:space="preserve"> DI ESECUZIONE</w:t>
      </w:r>
      <w:r w:rsidR="00CC0ABD">
        <w:rPr>
          <w:rFonts w:ascii="Arial Narrow" w:hAnsi="Arial Narrow" w:cs="Arial"/>
          <w:b/>
          <w:i/>
          <w:color w:val="00000A"/>
        </w:rPr>
        <w:t xml:space="preserve"> “CONTROPARTITA DIRETTA” BCC </w:t>
      </w:r>
      <w:r w:rsidR="00685FD7">
        <w:rPr>
          <w:rFonts w:ascii="Arial Narrow" w:hAnsi="Arial Narrow" w:cs="Arial"/>
          <w:b/>
          <w:i/>
          <w:color w:val="00000A"/>
        </w:rPr>
        <w:t>DI OSTRA VETERE</w:t>
      </w:r>
      <w:r w:rsidR="00CC0ABD">
        <w:rPr>
          <w:rFonts w:ascii="Arial Narrow" w:hAnsi="Arial Narrow" w:cs="Arial"/>
          <w:b/>
          <w:i/>
          <w:color w:val="00000A"/>
        </w:rPr>
        <w:t xml:space="preserve"> CODICE LEI </w:t>
      </w:r>
      <w:r w:rsidR="00685FD7">
        <w:rPr>
          <w:rFonts w:ascii="Arial Narrow" w:hAnsi="Arial Narrow" w:cs="Arial"/>
          <w:b/>
          <w:i/>
          <w:color w:val="00000A"/>
        </w:rPr>
        <w:t>213800WWEG2ERRNV4T32</w:t>
      </w:r>
    </w:p>
    <w:p w14:paraId="46F4D0F3" w14:textId="36FDED80" w:rsidR="00B57D63" w:rsidRPr="00A32377" w:rsidRDefault="00CC0ABD" w:rsidP="00B57D63">
      <w:pPr>
        <w:jc w:val="center"/>
        <w:rPr>
          <w:rFonts w:ascii="Arial Narrow" w:hAnsi="Arial Narrow" w:cs="Arial"/>
          <w:b/>
          <w:i/>
          <w:color w:val="00000A"/>
        </w:rPr>
      </w:pPr>
      <w:r>
        <w:rPr>
          <w:rFonts w:ascii="Arial Narrow" w:hAnsi="Arial Narrow" w:cs="Arial"/>
          <w:b/>
          <w:i/>
          <w:color w:val="00000A"/>
        </w:rPr>
        <w:t>(</w:t>
      </w:r>
      <w:r w:rsidR="001A7FEC">
        <w:rPr>
          <w:rFonts w:ascii="Arial Narrow" w:hAnsi="Arial Narrow" w:cs="Arial"/>
          <w:b/>
          <w:i/>
          <w:color w:val="00000A"/>
        </w:rPr>
        <w:t xml:space="preserve">“REPORT PRIME CINQUE SEDI DI ESECUZIONE” </w:t>
      </w:r>
      <w:r w:rsidR="0047509A">
        <w:rPr>
          <w:rFonts w:ascii="Arial Narrow" w:hAnsi="Arial Narrow" w:cs="Arial"/>
          <w:b/>
          <w:i/>
          <w:color w:val="00000A"/>
        </w:rPr>
        <w:t>ANNO 20</w:t>
      </w:r>
      <w:r w:rsidR="003B4581">
        <w:rPr>
          <w:rFonts w:ascii="Arial Narrow" w:hAnsi="Arial Narrow" w:cs="Arial"/>
          <w:b/>
          <w:i/>
          <w:color w:val="00000A"/>
        </w:rPr>
        <w:t>2</w:t>
      </w:r>
      <w:r w:rsidR="00F86C20">
        <w:rPr>
          <w:rFonts w:ascii="Arial Narrow" w:hAnsi="Arial Narrow" w:cs="Arial"/>
          <w:b/>
          <w:i/>
          <w:color w:val="00000A"/>
        </w:rPr>
        <w:t>1</w:t>
      </w:r>
      <w:r w:rsidR="00B57D63">
        <w:rPr>
          <w:rFonts w:ascii="Arial Narrow" w:hAnsi="Arial Narrow" w:cs="Arial"/>
          <w:b/>
          <w:i/>
          <w:color w:val="00000A"/>
        </w:rPr>
        <w:t>”)</w:t>
      </w:r>
    </w:p>
    <w:p w14:paraId="3900D098" w14:textId="77777777" w:rsidR="00683B2D" w:rsidRDefault="00683B2D" w:rsidP="00CF6F13">
      <w:pPr>
        <w:spacing w:before="0"/>
        <w:rPr>
          <w:rFonts w:ascii="Arial Narrow" w:hAnsi="Arial Narrow" w:cs="Arial"/>
          <w:color w:val="00000A"/>
        </w:rPr>
      </w:pPr>
      <w:r w:rsidRPr="00683B2D">
        <w:rPr>
          <w:rFonts w:ascii="Arial Narrow" w:hAnsi="Arial Narrow" w:cs="Arial"/>
          <w:color w:val="00000A"/>
        </w:rPr>
        <w:t>La Banca raccoglie e</w:t>
      </w:r>
      <w:r w:rsidR="00CF6F13">
        <w:rPr>
          <w:rFonts w:ascii="Arial Narrow" w:hAnsi="Arial Narrow" w:cs="Arial"/>
          <w:color w:val="00000A"/>
        </w:rPr>
        <w:t>d</w:t>
      </w:r>
      <w:r w:rsidRPr="00683B2D">
        <w:rPr>
          <w:rFonts w:ascii="Arial Narrow" w:hAnsi="Arial Narrow" w:cs="Arial"/>
          <w:color w:val="00000A"/>
        </w:rPr>
        <w:t xml:space="preserve"> </w:t>
      </w:r>
      <w:r w:rsidR="00CF6F13">
        <w:rPr>
          <w:rFonts w:ascii="Arial Narrow" w:hAnsi="Arial Narrow" w:cs="Arial"/>
          <w:color w:val="00000A"/>
        </w:rPr>
        <w:t>esegue</w:t>
      </w:r>
      <w:r w:rsidRPr="00683B2D">
        <w:rPr>
          <w:rFonts w:ascii="Arial Narrow" w:hAnsi="Arial Narrow" w:cs="Arial"/>
          <w:color w:val="00000A"/>
        </w:rPr>
        <w:t xml:space="preserve"> le disposizioni della clientela nel rispetto dell’ordine temporale con cui pervengono. </w:t>
      </w:r>
    </w:p>
    <w:p w14:paraId="6F4F3AA5" w14:textId="77777777" w:rsidR="00683B2D" w:rsidRPr="00683B2D" w:rsidRDefault="00CF6F13" w:rsidP="00CF6F13">
      <w:pPr>
        <w:spacing w:before="0"/>
        <w:rPr>
          <w:rFonts w:ascii="Arial Narrow" w:hAnsi="Arial Narrow" w:cs="Arial"/>
          <w:color w:val="00000A"/>
        </w:rPr>
      </w:pPr>
      <w:r>
        <w:rPr>
          <w:rFonts w:ascii="Arial Narrow" w:hAnsi="Arial Narrow" w:cs="Arial"/>
          <w:color w:val="00000A"/>
        </w:rPr>
        <w:t xml:space="preserve">Questa azienda, </w:t>
      </w:r>
      <w:r w:rsidR="00683B2D" w:rsidRPr="00683B2D">
        <w:rPr>
          <w:rFonts w:ascii="Arial Narrow" w:hAnsi="Arial Narrow" w:cs="Arial"/>
          <w:color w:val="00000A"/>
        </w:rPr>
        <w:t xml:space="preserve">che presta il servizio di </w:t>
      </w:r>
      <w:r>
        <w:rPr>
          <w:rFonts w:ascii="Arial Narrow" w:hAnsi="Arial Narrow" w:cs="Arial"/>
          <w:color w:val="00000A"/>
        </w:rPr>
        <w:t xml:space="preserve">negoziazione in conto proprio, </w:t>
      </w:r>
      <w:r w:rsidR="00683B2D" w:rsidRPr="00683B2D">
        <w:rPr>
          <w:rFonts w:ascii="Arial Narrow" w:hAnsi="Arial Narrow" w:cs="Arial"/>
          <w:color w:val="00000A"/>
        </w:rPr>
        <w:t xml:space="preserve">è tenuta </w:t>
      </w:r>
      <w:proofErr w:type="gramStart"/>
      <w:r w:rsidR="00683B2D" w:rsidRPr="00683B2D">
        <w:rPr>
          <w:rFonts w:ascii="Arial Narrow" w:hAnsi="Arial Narrow" w:cs="Arial"/>
          <w:color w:val="00000A"/>
        </w:rPr>
        <w:t>ad</w:t>
      </w:r>
      <w:proofErr w:type="gramEnd"/>
      <w:r w:rsidR="00683B2D" w:rsidRPr="00683B2D">
        <w:rPr>
          <w:rFonts w:ascii="Arial Narrow" w:hAnsi="Arial Narrow" w:cs="Arial"/>
          <w:color w:val="00000A"/>
        </w:rPr>
        <w:t xml:space="preserve"> adottare tutte le misure ragionevoli e a mettere in atto meccanismi efficaci per ottenere nell’esecuzione degli ordini, il miglior risultato possibile per i clienti, avendo riguardo a prezzi, costi, rapidità e probabilità di esecuzione e di regolamento, dimensione e oggetto dell’ordine </w:t>
      </w:r>
      <w:r w:rsidR="00683B2D" w:rsidRPr="00683B2D">
        <w:rPr>
          <w:rFonts w:ascii="Arial Narrow" w:hAnsi="Arial Narrow" w:cs="Arial"/>
          <w:i/>
          <w:color w:val="00000A"/>
        </w:rPr>
        <w:t>(c.d. fattori di esecuzione).</w:t>
      </w:r>
    </w:p>
    <w:p w14:paraId="4D89CD91" w14:textId="77777777" w:rsidR="00683B2D" w:rsidRPr="00683B2D" w:rsidRDefault="00CF6F13" w:rsidP="00683B2D">
      <w:pPr>
        <w:rPr>
          <w:rFonts w:ascii="Arial Narrow" w:hAnsi="Arial Narrow" w:cs="Arial"/>
          <w:color w:val="00000A"/>
        </w:rPr>
      </w:pPr>
      <w:bookmarkStart w:id="0" w:name="__RefHeading__10810_376313955"/>
      <w:bookmarkStart w:id="1" w:name="_Toc501641870"/>
      <w:bookmarkStart w:id="2" w:name="_Toc281909142"/>
      <w:bookmarkEnd w:id="0"/>
      <w:bookmarkEnd w:id="1"/>
      <w:bookmarkEnd w:id="2"/>
      <w:r>
        <w:rPr>
          <w:rFonts w:ascii="Arial Narrow" w:hAnsi="Arial Narrow" w:cs="Arial"/>
          <w:color w:val="00000A"/>
        </w:rPr>
        <w:t>La tipologia</w:t>
      </w:r>
      <w:r w:rsidR="00683B2D" w:rsidRPr="00683B2D">
        <w:rPr>
          <w:rFonts w:ascii="Arial Narrow" w:hAnsi="Arial Narrow" w:cs="Arial"/>
          <w:color w:val="00000A"/>
        </w:rPr>
        <w:t xml:space="preserve"> di strumenti finanziari trattati</w:t>
      </w:r>
      <w:r w:rsidR="00954ADA">
        <w:rPr>
          <w:rFonts w:ascii="Arial Narrow" w:hAnsi="Arial Narrow" w:cs="Arial"/>
          <w:color w:val="00000A"/>
        </w:rPr>
        <w:t xml:space="preserve"> (compravendita diretta quale sede di esecuzione)</w:t>
      </w:r>
      <w:r>
        <w:rPr>
          <w:rFonts w:ascii="Arial Narrow" w:hAnsi="Arial Narrow" w:cs="Arial"/>
          <w:color w:val="00000A"/>
        </w:rPr>
        <w:t xml:space="preserve"> è in genere rappresentata esclusivamente dai propri Prestiti Obbligazionari (P.O.), la cui rivendita allo sportello da parte del Cliente alla Banca stessa è finalizzata ad assicurare la pronta liquidabilità del titolo detenuto</w:t>
      </w:r>
      <w:r w:rsidR="00954ADA">
        <w:rPr>
          <w:rFonts w:ascii="Arial Narrow" w:hAnsi="Arial Narrow" w:cs="Arial"/>
          <w:color w:val="00000A"/>
        </w:rPr>
        <w:t xml:space="preserve"> a condizioni di prezzo significative</w:t>
      </w:r>
      <w:r>
        <w:rPr>
          <w:rFonts w:ascii="Arial Narrow" w:hAnsi="Arial Narrow" w:cs="Arial"/>
          <w:color w:val="00000A"/>
        </w:rPr>
        <w:t xml:space="preserve">. </w:t>
      </w:r>
    </w:p>
    <w:p w14:paraId="3AA016CE" w14:textId="77777777" w:rsidR="00683B2D" w:rsidRPr="00683B2D" w:rsidRDefault="00683B2D" w:rsidP="00683B2D">
      <w:pPr>
        <w:rPr>
          <w:rFonts w:ascii="Arial Narrow" w:hAnsi="Arial Narrow" w:cs="Arial"/>
          <w:color w:val="00000A"/>
        </w:rPr>
      </w:pPr>
      <w:bookmarkStart w:id="3" w:name="__RefHeading__10812_376313955"/>
      <w:bookmarkEnd w:id="3"/>
      <w:r w:rsidRPr="00683B2D">
        <w:rPr>
          <w:rFonts w:ascii="Arial Narrow" w:hAnsi="Arial Narrow" w:cs="Arial"/>
          <w:color w:val="00000A"/>
        </w:rPr>
        <w:t xml:space="preserve">L’ordine di rilevanza sulla base dei quali vengono eseguiti gli ordini della clientela </w:t>
      </w:r>
      <w:proofErr w:type="gramStart"/>
      <w:r w:rsidRPr="00683B2D">
        <w:rPr>
          <w:rFonts w:ascii="Arial Narrow" w:hAnsi="Arial Narrow" w:cs="Arial"/>
          <w:color w:val="00000A"/>
        </w:rPr>
        <w:t>sono</w:t>
      </w:r>
      <w:r w:rsidR="00685FD7">
        <w:rPr>
          <w:rFonts w:ascii="Arial Narrow" w:hAnsi="Arial Narrow" w:cs="Arial"/>
          <w:color w:val="00000A"/>
        </w:rPr>
        <w:t xml:space="preserve"> </w:t>
      </w:r>
      <w:r w:rsidRPr="00683B2D">
        <w:rPr>
          <w:rFonts w:ascii="Arial Narrow" w:hAnsi="Arial Narrow" w:cs="Arial"/>
          <w:color w:val="00000A"/>
        </w:rPr>
        <w:t>riepilogati</w:t>
      </w:r>
      <w:proofErr w:type="gramEnd"/>
      <w:r w:rsidRPr="00683B2D">
        <w:rPr>
          <w:rFonts w:ascii="Arial Narrow" w:hAnsi="Arial Narrow" w:cs="Arial"/>
          <w:color w:val="00000A"/>
        </w:rPr>
        <w:t xml:space="preserve"> nella tabella di seguito riportata: </w:t>
      </w:r>
    </w:p>
    <w:p w14:paraId="2A97C297" w14:textId="77777777" w:rsidR="00683B2D" w:rsidRPr="00954ADA" w:rsidRDefault="00683B2D" w:rsidP="00683B2D">
      <w:pPr>
        <w:rPr>
          <w:rFonts w:ascii="Arial Narrow" w:hAnsi="Arial Narrow" w:cs="Arial"/>
          <w:b/>
          <w:color w:val="00000A"/>
        </w:rPr>
      </w:pPr>
      <w:r w:rsidRPr="00954ADA">
        <w:rPr>
          <w:rFonts w:ascii="Arial Narrow" w:hAnsi="Arial Narrow" w:cs="Arial"/>
          <w:b/>
          <w:color w:val="00000A"/>
        </w:rPr>
        <w:t>Fattori di esecuzione per la negoziazione delle obbligazioni di propria emissione</w:t>
      </w:r>
      <w:r w:rsidR="00954ADA">
        <w:rPr>
          <w:rFonts w:ascii="Arial Narrow" w:hAnsi="Arial Narrow" w:cs="Arial"/>
          <w:b/>
          <w:color w:val="00000A"/>
        </w:rPr>
        <w:t xml:space="preserve"> (P.O.)</w:t>
      </w:r>
    </w:p>
    <w:tbl>
      <w:tblPr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3424"/>
        <w:gridCol w:w="6204"/>
      </w:tblGrid>
      <w:tr w:rsidR="00683B2D" w:rsidRPr="00683B2D" w14:paraId="6AD7C537" w14:textId="77777777" w:rsidTr="00954ADA">
        <w:tc>
          <w:tcPr>
            <w:tcW w:w="177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0E0E0"/>
            <w:tcMar>
              <w:left w:w="108" w:type="dxa"/>
            </w:tcMar>
            <w:vAlign w:val="center"/>
          </w:tcPr>
          <w:p w14:paraId="1B10E7F6" w14:textId="77777777"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  <w:r w:rsidRPr="00683B2D">
              <w:rPr>
                <w:rFonts w:ascii="Arial Narrow" w:hAnsi="Arial Narrow" w:cs="Arial"/>
                <w:color w:val="00000A"/>
              </w:rPr>
              <w:t>Fattori di Esecuzione</w:t>
            </w:r>
          </w:p>
        </w:tc>
        <w:tc>
          <w:tcPr>
            <w:tcW w:w="3222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0E0E0"/>
            <w:tcMar>
              <w:left w:w="108" w:type="dxa"/>
            </w:tcMar>
            <w:vAlign w:val="center"/>
          </w:tcPr>
          <w:p w14:paraId="729F7852" w14:textId="77777777"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  <w:r w:rsidRPr="00683B2D">
              <w:rPr>
                <w:rFonts w:ascii="Arial Narrow" w:hAnsi="Arial Narrow" w:cs="Arial"/>
                <w:color w:val="00000A"/>
              </w:rPr>
              <w:t>Sedi di Esecuzione</w:t>
            </w:r>
          </w:p>
        </w:tc>
      </w:tr>
      <w:tr w:rsidR="00683B2D" w:rsidRPr="00683B2D" w14:paraId="15C5F2DB" w14:textId="77777777" w:rsidTr="00954ADA">
        <w:trPr>
          <w:trHeight w:val="2550"/>
        </w:trPr>
        <w:tc>
          <w:tcPr>
            <w:tcW w:w="1778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left w:w="108" w:type="dxa"/>
            </w:tcMar>
          </w:tcPr>
          <w:p w14:paraId="72B5D0AE" w14:textId="77777777"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  <w:r w:rsidRPr="00683B2D">
              <w:rPr>
                <w:rFonts w:ascii="Arial Narrow" w:hAnsi="Arial Narrow" w:cs="Arial"/>
                <w:color w:val="00000A"/>
              </w:rPr>
              <w:t>Corrispettivo totale</w:t>
            </w:r>
          </w:p>
          <w:p w14:paraId="44138D3C" w14:textId="77777777"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  <w:r w:rsidRPr="00683B2D">
              <w:rPr>
                <w:rFonts w:ascii="Arial Narrow" w:hAnsi="Arial Narrow" w:cs="Arial"/>
                <w:color w:val="00000A"/>
              </w:rPr>
              <w:t xml:space="preserve">Probabilità di esecuzione </w:t>
            </w:r>
          </w:p>
          <w:p w14:paraId="3D1E1189" w14:textId="77777777"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  <w:r w:rsidRPr="00683B2D">
              <w:rPr>
                <w:rFonts w:ascii="Arial Narrow" w:hAnsi="Arial Narrow" w:cs="Arial"/>
                <w:color w:val="00000A"/>
              </w:rPr>
              <w:t>Probabilità di regolamento</w:t>
            </w:r>
          </w:p>
          <w:p w14:paraId="45938D56" w14:textId="77777777"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  <w:r w:rsidRPr="00683B2D">
              <w:rPr>
                <w:rFonts w:ascii="Arial Narrow" w:hAnsi="Arial Narrow" w:cs="Arial"/>
                <w:color w:val="00000A"/>
              </w:rPr>
              <w:t xml:space="preserve">Rapidità di esecuzione </w:t>
            </w:r>
          </w:p>
          <w:p w14:paraId="48A1EA8B" w14:textId="77777777"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  <w:r w:rsidRPr="00683B2D">
              <w:rPr>
                <w:rFonts w:ascii="Arial Narrow" w:hAnsi="Arial Narrow" w:cs="Arial"/>
                <w:color w:val="00000A"/>
              </w:rPr>
              <w:t>Natura dell’ordine</w:t>
            </w:r>
          </w:p>
          <w:p w14:paraId="06AFA939" w14:textId="77777777"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  <w:r w:rsidRPr="00683B2D">
              <w:rPr>
                <w:rFonts w:ascii="Arial Narrow" w:hAnsi="Arial Narrow" w:cs="Arial"/>
                <w:color w:val="00000A"/>
              </w:rPr>
              <w:t>Dimensione dell’ordine</w:t>
            </w:r>
          </w:p>
        </w:tc>
        <w:tc>
          <w:tcPr>
            <w:tcW w:w="3222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left w:w="108" w:type="dxa"/>
            </w:tcMar>
          </w:tcPr>
          <w:p w14:paraId="1BFB9134" w14:textId="77777777"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</w:p>
          <w:p w14:paraId="1CFE32C9" w14:textId="77777777"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  <w:r w:rsidRPr="00683B2D">
              <w:rPr>
                <w:rFonts w:ascii="Arial Narrow" w:hAnsi="Arial Narrow" w:cs="Arial"/>
                <w:color w:val="00000A"/>
              </w:rPr>
              <w:t xml:space="preserve">BCC di </w:t>
            </w:r>
            <w:r w:rsidR="00685FD7">
              <w:rPr>
                <w:rFonts w:ascii="Arial Narrow" w:hAnsi="Arial Narrow" w:cs="Arial"/>
                <w:color w:val="00000A"/>
              </w:rPr>
              <w:t>Ostra Vetere</w:t>
            </w:r>
            <w:r w:rsidRPr="00683B2D">
              <w:rPr>
                <w:rFonts w:ascii="Arial Narrow" w:hAnsi="Arial Narrow" w:cs="Arial"/>
                <w:color w:val="00000A"/>
              </w:rPr>
              <w:t xml:space="preserve"> esecuzione di ordini per conto terzi</w:t>
            </w:r>
          </w:p>
          <w:p w14:paraId="5EEF1A04" w14:textId="77777777" w:rsidR="00683B2D" w:rsidRPr="00683B2D" w:rsidRDefault="00683B2D" w:rsidP="00683B2D">
            <w:pPr>
              <w:rPr>
                <w:rFonts w:ascii="Arial Narrow" w:hAnsi="Arial Narrow" w:cs="Arial"/>
                <w:color w:val="00000A"/>
              </w:rPr>
            </w:pPr>
          </w:p>
        </w:tc>
      </w:tr>
    </w:tbl>
    <w:p w14:paraId="66028882" w14:textId="77777777" w:rsidR="00683B2D" w:rsidRPr="00954ADA" w:rsidRDefault="00683B2D" w:rsidP="00683B2D">
      <w:pPr>
        <w:rPr>
          <w:rFonts w:ascii="Arial Narrow" w:hAnsi="Arial Narrow" w:cs="Arial"/>
          <w:b/>
          <w:color w:val="00000A"/>
        </w:rPr>
      </w:pPr>
      <w:r w:rsidRPr="00954ADA">
        <w:rPr>
          <w:rFonts w:ascii="Arial Narrow" w:hAnsi="Arial Narrow" w:cs="Arial"/>
          <w:b/>
          <w:color w:val="00000A"/>
        </w:rPr>
        <w:t>Criteri e modalità di negoziazione</w:t>
      </w:r>
    </w:p>
    <w:p w14:paraId="0A3BD1F9" w14:textId="77777777" w:rsidR="00683B2D" w:rsidRPr="00683B2D" w:rsidRDefault="00683B2D" w:rsidP="001A7FEC">
      <w:pPr>
        <w:spacing w:before="0"/>
        <w:rPr>
          <w:rFonts w:ascii="Arial Narrow" w:hAnsi="Arial Narrow" w:cs="Arial"/>
          <w:color w:val="00000A"/>
        </w:rPr>
      </w:pPr>
      <w:r w:rsidRPr="00683B2D">
        <w:rPr>
          <w:rFonts w:ascii="Arial Narrow" w:hAnsi="Arial Narrow" w:cs="Arial"/>
          <w:color w:val="00000A"/>
        </w:rPr>
        <w:t>Le caratteristiche dei titoli trattati</w:t>
      </w:r>
      <w:r w:rsidR="00197ACA">
        <w:rPr>
          <w:rFonts w:ascii="Arial Narrow" w:hAnsi="Arial Narrow" w:cs="Arial"/>
          <w:color w:val="00000A"/>
        </w:rPr>
        <w:t xml:space="preserve"> (appunto </w:t>
      </w:r>
      <w:r w:rsidR="00197ACA" w:rsidRPr="00197ACA">
        <w:rPr>
          <w:rFonts w:ascii="Arial Narrow" w:hAnsi="Arial Narrow" w:cs="Arial"/>
          <w:b/>
          <w:i/>
          <w:color w:val="00000A"/>
        </w:rPr>
        <w:t>Prestiti obbligazionari – P.O.</w:t>
      </w:r>
      <w:r w:rsidR="00197ACA">
        <w:rPr>
          <w:rFonts w:ascii="Arial Narrow" w:hAnsi="Arial Narrow" w:cs="Arial"/>
          <w:color w:val="00000A"/>
        </w:rPr>
        <w:t xml:space="preserve"> -)</w:t>
      </w:r>
      <w:r w:rsidRPr="00683B2D">
        <w:rPr>
          <w:rFonts w:ascii="Arial Narrow" w:hAnsi="Arial Narrow" w:cs="Arial"/>
          <w:color w:val="00000A"/>
        </w:rPr>
        <w:t xml:space="preserve"> portano ad individuare quale naturale e migliore sede di esecuzione la Banca stessa in quanto con l’attività di negoziazione per conto proprio può garantire in modo duraturo il rispetto della disciplina di </w:t>
      </w:r>
      <w:r w:rsidRPr="00197ACA">
        <w:rPr>
          <w:rFonts w:ascii="Arial Narrow" w:hAnsi="Arial Narrow" w:cs="Arial"/>
          <w:i/>
          <w:color w:val="00000A"/>
        </w:rPr>
        <w:t xml:space="preserve">best </w:t>
      </w:r>
      <w:proofErr w:type="spellStart"/>
      <w:r w:rsidRPr="00197ACA">
        <w:rPr>
          <w:rFonts w:ascii="Arial Narrow" w:hAnsi="Arial Narrow" w:cs="Arial"/>
          <w:i/>
          <w:color w:val="00000A"/>
        </w:rPr>
        <w:t>execution</w:t>
      </w:r>
      <w:proofErr w:type="spellEnd"/>
      <w:r w:rsidRPr="00683B2D">
        <w:rPr>
          <w:rFonts w:ascii="Arial Narrow" w:hAnsi="Arial Narrow" w:cs="Arial"/>
          <w:color w:val="00000A"/>
        </w:rPr>
        <w:t xml:space="preserve"> nei confronti dei propri clienti. La Banca rappresenta nei fatti l’unica sede di negoziazione disponibile. </w:t>
      </w:r>
    </w:p>
    <w:p w14:paraId="33F302C4" w14:textId="77777777" w:rsidR="00683B2D" w:rsidRDefault="00683B2D" w:rsidP="001A7FEC">
      <w:pPr>
        <w:spacing w:before="0"/>
        <w:rPr>
          <w:rFonts w:ascii="Arial Narrow" w:hAnsi="Arial Narrow" w:cs="Arial"/>
          <w:color w:val="00000A"/>
        </w:rPr>
      </w:pPr>
      <w:r w:rsidRPr="00683B2D">
        <w:rPr>
          <w:rFonts w:ascii="Arial Narrow" w:hAnsi="Arial Narrow" w:cs="Arial"/>
          <w:color w:val="00000A"/>
        </w:rPr>
        <w:t xml:space="preserve">Le obbligazioni emesse dalla Banca sono valutate sulla base della metodologia definita nella </w:t>
      </w:r>
      <w:r w:rsidRPr="001A7FEC">
        <w:rPr>
          <w:rFonts w:ascii="Arial Narrow" w:hAnsi="Arial Narrow" w:cs="Arial"/>
          <w:i/>
          <w:color w:val="00000A"/>
        </w:rPr>
        <w:t>“Policy di pricing”</w:t>
      </w:r>
      <w:r w:rsidRPr="00683B2D">
        <w:rPr>
          <w:rFonts w:ascii="Arial Narrow" w:hAnsi="Arial Narrow" w:cs="Arial"/>
          <w:color w:val="00000A"/>
        </w:rPr>
        <w:t xml:space="preserve"> adottata dalla stessa.</w:t>
      </w:r>
    </w:p>
    <w:p w14:paraId="0CBDF3B8" w14:textId="77777777" w:rsidR="00214B51" w:rsidRPr="00214B51" w:rsidRDefault="00214B51" w:rsidP="00214B51">
      <w:pPr>
        <w:spacing w:before="0"/>
        <w:rPr>
          <w:rFonts w:ascii="Arial Narrow" w:hAnsi="Arial Narrow" w:cs="Arial"/>
          <w:color w:val="00000A"/>
        </w:rPr>
      </w:pPr>
      <w:r w:rsidRPr="00214B51">
        <w:rPr>
          <w:rFonts w:ascii="Arial Narrow" w:hAnsi="Arial Narrow" w:cs="Arial"/>
          <w:color w:val="00000A"/>
        </w:rPr>
        <w:t>La prestazione del servizio di esecuzione di ordini espone la Banca a situa</w:t>
      </w:r>
      <w:r>
        <w:rPr>
          <w:rFonts w:ascii="Arial Narrow" w:hAnsi="Arial Narrow" w:cs="Arial"/>
          <w:color w:val="00000A"/>
        </w:rPr>
        <w:t xml:space="preserve">zioni di conflitto di interesse in quanto </w:t>
      </w:r>
      <w:r w:rsidRPr="00214B51">
        <w:rPr>
          <w:rFonts w:ascii="Arial Narrow" w:hAnsi="Arial Narrow" w:cs="Arial"/>
          <w:color w:val="00000A"/>
        </w:rPr>
        <w:t>lo strumento finanzia</w:t>
      </w:r>
      <w:r>
        <w:rPr>
          <w:rFonts w:ascii="Arial Narrow" w:hAnsi="Arial Narrow" w:cs="Arial"/>
          <w:color w:val="00000A"/>
        </w:rPr>
        <w:t>rio oggetto del servizio risulta</w:t>
      </w:r>
      <w:r w:rsidRPr="00214B51">
        <w:rPr>
          <w:rFonts w:ascii="Arial Narrow" w:hAnsi="Arial Narrow" w:cs="Arial"/>
          <w:color w:val="00000A"/>
        </w:rPr>
        <w:t xml:space="preserve"> di propria emissione</w:t>
      </w:r>
      <w:r>
        <w:rPr>
          <w:rFonts w:ascii="Arial Narrow" w:hAnsi="Arial Narrow" w:cs="Arial"/>
          <w:color w:val="00000A"/>
        </w:rPr>
        <w:t>.</w:t>
      </w:r>
    </w:p>
    <w:p w14:paraId="6E3B9D80" w14:textId="77777777" w:rsidR="00E06A9E" w:rsidRPr="00E06A9E" w:rsidRDefault="00214B51" w:rsidP="00E06A9E">
      <w:pPr>
        <w:suppressAutoHyphens w:val="0"/>
        <w:spacing w:before="0"/>
        <w:rPr>
          <w:rFonts w:ascii="Arial Narrow" w:hAnsi="Arial Narrow" w:cs="Arial"/>
          <w:color w:val="00000A"/>
        </w:rPr>
      </w:pPr>
      <w:r w:rsidRPr="00214B51">
        <w:rPr>
          <w:rFonts w:ascii="Arial Narrow" w:hAnsi="Arial Narrow" w:cs="Arial"/>
          <w:color w:val="00000A"/>
        </w:rPr>
        <w:t>In tal caso</w:t>
      </w:r>
      <w:r>
        <w:rPr>
          <w:rFonts w:ascii="Arial Narrow" w:hAnsi="Arial Narrow" w:cs="Arial"/>
          <w:color w:val="00000A"/>
        </w:rPr>
        <w:t>,</w:t>
      </w:r>
      <w:r w:rsidRPr="00214B51">
        <w:rPr>
          <w:rFonts w:ascii="Arial Narrow" w:hAnsi="Arial Narrow" w:cs="Arial"/>
          <w:color w:val="00000A"/>
        </w:rPr>
        <w:t xml:space="preserve"> la Banca è portatrice di un interesse nel risultato del servizio prestato al cliente, distinto da quello del cliente medesimo</w:t>
      </w:r>
      <w:r w:rsidR="00E06A9E">
        <w:rPr>
          <w:rFonts w:ascii="Arial Narrow" w:hAnsi="Arial Narrow" w:cs="Arial"/>
          <w:color w:val="00000A"/>
        </w:rPr>
        <w:t xml:space="preserve"> </w:t>
      </w:r>
      <w:r w:rsidR="00E06A9E" w:rsidRPr="00E06A9E">
        <w:rPr>
          <w:rFonts w:ascii="Arial Narrow" w:hAnsi="Arial Narrow" w:cs="Arial"/>
          <w:color w:val="00000A"/>
        </w:rPr>
        <w:t>con possibilità di realizzare un guadagno finanziario o evitare una perdita finanziaria, a danno del cliente</w:t>
      </w:r>
      <w:r w:rsidR="00E06A9E">
        <w:rPr>
          <w:rFonts w:ascii="Arial Narrow" w:hAnsi="Arial Narrow" w:cs="Arial"/>
          <w:color w:val="00000A"/>
        </w:rPr>
        <w:t>. Inoltre, in genere, la medesima unità organizzativa è preposta alla valutazione di adeguatezza.</w:t>
      </w:r>
    </w:p>
    <w:p w14:paraId="00163888" w14:textId="77777777" w:rsidR="00685FD7" w:rsidRDefault="00E06A9E" w:rsidP="00F467ED">
      <w:pPr>
        <w:spacing w:before="0"/>
        <w:rPr>
          <w:rFonts w:ascii="Arial Narrow" w:hAnsi="Arial Narrow" w:cs="Arial"/>
          <w:color w:val="00000A"/>
        </w:rPr>
      </w:pPr>
      <w:r w:rsidRPr="00841B76">
        <w:rPr>
          <w:rFonts w:ascii="Arial Narrow" w:hAnsi="Arial Narrow" w:cs="Tahoma"/>
          <w:iCs/>
          <w:color w:val="00000A"/>
        </w:rPr>
        <w:t>Ne deriva la necessità</w:t>
      </w:r>
      <w:r>
        <w:rPr>
          <w:rFonts w:ascii="Arial Narrow" w:hAnsi="Arial Narrow" w:cs="Tahoma"/>
          <w:iCs/>
          <w:color w:val="00000A"/>
        </w:rPr>
        <w:t xml:space="preserve"> da parte della Banca</w:t>
      </w:r>
      <w:r w:rsidRPr="00841B76">
        <w:rPr>
          <w:rFonts w:ascii="Arial Narrow" w:hAnsi="Arial Narrow" w:cs="Tahoma"/>
          <w:iCs/>
          <w:color w:val="00000A"/>
        </w:rPr>
        <w:t xml:space="preserve"> di considerare </w:t>
      </w:r>
      <w:r>
        <w:rPr>
          <w:rFonts w:ascii="Arial Narrow" w:hAnsi="Arial Narrow" w:cs="Tahoma"/>
          <w:iCs/>
          <w:color w:val="00000A"/>
        </w:rPr>
        <w:t>il</w:t>
      </w:r>
      <w:r w:rsidRPr="00841B76">
        <w:rPr>
          <w:rFonts w:ascii="Arial Narrow" w:hAnsi="Arial Narrow" w:cs="Tahoma"/>
          <w:iCs/>
          <w:color w:val="00000A"/>
        </w:rPr>
        <w:t xml:space="preserve"> potenzial</w:t>
      </w:r>
      <w:r w:rsidR="00685FD7">
        <w:rPr>
          <w:rFonts w:ascii="Arial Narrow" w:hAnsi="Arial Narrow" w:cs="Tahoma"/>
          <w:iCs/>
          <w:color w:val="00000A"/>
        </w:rPr>
        <w:t>e</w:t>
      </w:r>
      <w:r w:rsidRPr="00841B76">
        <w:rPr>
          <w:rFonts w:ascii="Arial Narrow" w:hAnsi="Arial Narrow" w:cs="Tahoma"/>
          <w:iCs/>
          <w:color w:val="00000A"/>
        </w:rPr>
        <w:t xml:space="preserve"> conflitti di interesse</w:t>
      </w:r>
      <w:r>
        <w:rPr>
          <w:rFonts w:ascii="Arial Narrow" w:hAnsi="Arial Narrow" w:cs="Tahoma"/>
          <w:iCs/>
          <w:color w:val="00000A"/>
        </w:rPr>
        <w:t>, con l’adozione in primis di misure organizzative atte a</w:t>
      </w:r>
      <w:r w:rsidR="00593A64">
        <w:rPr>
          <w:rFonts w:ascii="Arial Narrow" w:hAnsi="Arial Narrow" w:cs="Tahoma"/>
          <w:iCs/>
          <w:color w:val="00000A"/>
        </w:rPr>
        <w:t xml:space="preserve"> prevenire e a</w:t>
      </w:r>
      <w:r>
        <w:rPr>
          <w:rFonts w:ascii="Arial Narrow" w:hAnsi="Arial Narrow" w:cs="Tahoma"/>
          <w:iCs/>
          <w:color w:val="00000A"/>
        </w:rPr>
        <w:t xml:space="preserve"> mitigarne il rischio nonché con la fornitura di idonea informativa alla clientela</w:t>
      </w:r>
      <w:r w:rsidR="00F467ED">
        <w:rPr>
          <w:rFonts w:ascii="Arial Narrow" w:hAnsi="Arial Narrow" w:cs="Tahoma"/>
          <w:iCs/>
          <w:color w:val="00000A"/>
        </w:rPr>
        <w:t>.</w:t>
      </w:r>
      <w:r w:rsidR="00F467ED">
        <w:rPr>
          <w:rFonts w:ascii="Arial Narrow" w:hAnsi="Arial Narrow" w:cs="Arial"/>
          <w:color w:val="00000A"/>
        </w:rPr>
        <w:tab/>
      </w:r>
    </w:p>
    <w:p w14:paraId="6F8364CA" w14:textId="77777777" w:rsidR="00685FD7" w:rsidRDefault="00685FD7" w:rsidP="00685FD7">
      <w:pPr>
        <w:pStyle w:val="Titolo1"/>
        <w:jc w:val="left"/>
        <w:rPr>
          <w:rFonts w:ascii="Arial Narrow" w:hAnsi="Arial Narrow" w:cs="Arial"/>
          <w:color w:val="00000A"/>
        </w:rPr>
      </w:pPr>
      <w:r>
        <w:rPr>
          <w:noProof/>
        </w:rPr>
        <w:lastRenderedPageBreak/>
        <w:drawing>
          <wp:inline distT="0" distB="0" distL="0" distR="0" wp14:anchorId="2784998D" wp14:editId="25037CE2">
            <wp:extent cx="1857694" cy="564542"/>
            <wp:effectExtent l="0" t="0" r="9525" b="698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140" cy="578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E79BF" w14:textId="77777777" w:rsidR="00FE19D7" w:rsidRPr="00FE19D7" w:rsidRDefault="00AC44F7" w:rsidP="00DC22AF">
      <w:pPr>
        <w:pStyle w:val="Titolo1"/>
        <w:jc w:val="center"/>
        <w:rPr>
          <w:rFonts w:ascii="Arial Narrow" w:hAnsi="Arial Narrow" w:cs="Arial"/>
          <w:color w:val="00000A"/>
        </w:rPr>
      </w:pPr>
      <w:r>
        <w:rPr>
          <w:rFonts w:ascii="Arial Narrow" w:hAnsi="Arial Narrow" w:cs="Arial"/>
          <w:color w:val="00000A"/>
        </w:rPr>
        <w:t xml:space="preserve">COMMENTI </w:t>
      </w:r>
      <w:r w:rsidRPr="00EF4172">
        <w:rPr>
          <w:rFonts w:ascii="Arial Narrow" w:hAnsi="Arial Narrow" w:cs="Arial"/>
          <w:color w:val="00000A"/>
        </w:rPr>
        <w:t xml:space="preserve">QUALITATIVI </w:t>
      </w:r>
      <w:r w:rsidR="00FE19D7" w:rsidRPr="00FE19D7">
        <w:rPr>
          <w:rFonts w:ascii="Arial Narrow" w:hAnsi="Arial Narrow" w:cs="Arial"/>
          <w:color w:val="00000A"/>
        </w:rPr>
        <w:t>OPERAZIONI DI FINANZIAMENTO TRAMITE TITOLI</w:t>
      </w:r>
      <w:r w:rsidR="00FE19D7">
        <w:rPr>
          <w:rFonts w:ascii="Arial Narrow" w:hAnsi="Arial Narrow" w:cs="Arial"/>
          <w:color w:val="00000A"/>
        </w:rPr>
        <w:t xml:space="preserve"> (PRONTI CONTRO TERMINE PASSIVI CON CLIENTELA – </w:t>
      </w:r>
      <w:r w:rsidR="00FE19D7" w:rsidRPr="00FE19D7">
        <w:rPr>
          <w:rFonts w:ascii="Arial Narrow" w:hAnsi="Arial Narrow" w:cs="Arial"/>
          <w:i/>
          <w:color w:val="00000A"/>
        </w:rPr>
        <w:t xml:space="preserve">PCT </w:t>
      </w:r>
      <w:r w:rsidR="00FE19D7">
        <w:rPr>
          <w:rFonts w:ascii="Arial Narrow" w:hAnsi="Arial Narrow" w:cs="Arial"/>
          <w:color w:val="00000A"/>
        </w:rPr>
        <w:t>-)</w:t>
      </w:r>
    </w:p>
    <w:p w14:paraId="0C5145EB" w14:textId="2A23271D" w:rsidR="00AC44F7" w:rsidRDefault="00AC44F7" w:rsidP="00DC22AF">
      <w:pPr>
        <w:jc w:val="center"/>
        <w:rPr>
          <w:rFonts w:ascii="Arial Narrow" w:hAnsi="Arial Narrow" w:cs="Arial"/>
          <w:b/>
          <w:i/>
          <w:color w:val="00000A"/>
        </w:rPr>
      </w:pPr>
      <w:r>
        <w:rPr>
          <w:rFonts w:ascii="Arial Narrow" w:hAnsi="Arial Narrow" w:cs="Arial"/>
          <w:b/>
          <w:i/>
          <w:color w:val="00000A"/>
        </w:rPr>
        <w:t xml:space="preserve">(“REPORT PRIME CINQUE SEDI DI ESECUZIONE” </w:t>
      </w:r>
      <w:r w:rsidR="0047509A">
        <w:rPr>
          <w:rFonts w:ascii="Arial Narrow" w:hAnsi="Arial Narrow" w:cs="Arial"/>
          <w:b/>
          <w:i/>
          <w:color w:val="00000A"/>
        </w:rPr>
        <w:t>ANNO 20</w:t>
      </w:r>
      <w:r w:rsidR="003B4581">
        <w:rPr>
          <w:rFonts w:ascii="Arial Narrow" w:hAnsi="Arial Narrow" w:cs="Arial"/>
          <w:b/>
          <w:i/>
          <w:color w:val="00000A"/>
        </w:rPr>
        <w:t>2</w:t>
      </w:r>
      <w:r w:rsidR="00F86C20">
        <w:rPr>
          <w:rFonts w:ascii="Arial Narrow" w:hAnsi="Arial Narrow" w:cs="Arial"/>
          <w:b/>
          <w:i/>
          <w:color w:val="00000A"/>
        </w:rPr>
        <w:t>1</w:t>
      </w:r>
      <w:r>
        <w:rPr>
          <w:rFonts w:ascii="Arial Narrow" w:hAnsi="Arial Narrow" w:cs="Arial"/>
          <w:b/>
          <w:i/>
          <w:color w:val="00000A"/>
        </w:rPr>
        <w:t>”)</w:t>
      </w:r>
    </w:p>
    <w:p w14:paraId="21A03F08" w14:textId="6046EAFF" w:rsidR="00DC22AF" w:rsidRPr="00DC22AF" w:rsidRDefault="00DC22AF" w:rsidP="00DC22AF">
      <w:pPr>
        <w:rPr>
          <w:rFonts w:ascii="Arial Narrow" w:hAnsi="Arial Narrow" w:cs="Arial"/>
          <w:b/>
          <w:i/>
          <w:color w:val="00000A"/>
        </w:rPr>
      </w:pPr>
      <w:r>
        <w:rPr>
          <w:rFonts w:ascii="Arial Narrow" w:hAnsi="Arial Narrow" w:cs="Arial"/>
          <w:b/>
          <w:i/>
          <w:color w:val="00000A"/>
        </w:rPr>
        <w:t xml:space="preserve">                                   </w:t>
      </w:r>
      <w:r w:rsidRPr="00DC22AF">
        <w:rPr>
          <w:rFonts w:ascii="Arial Narrow" w:hAnsi="Arial Narrow" w:cs="Arial"/>
          <w:b/>
          <w:i/>
          <w:color w:val="00000A"/>
        </w:rPr>
        <w:t>-NEL 2021 NON SONO STATE EFFETTUATE OPERAZIONI-</w:t>
      </w:r>
    </w:p>
    <w:p w14:paraId="24F3FE52" w14:textId="77777777" w:rsidR="00E25F7C" w:rsidRDefault="00E25F7C" w:rsidP="00E25F7C">
      <w:pPr>
        <w:spacing w:before="0"/>
        <w:rPr>
          <w:rFonts w:ascii="Arial Narrow" w:hAnsi="Arial Narrow" w:cs="Tahoma"/>
          <w:color w:val="00000A"/>
        </w:rPr>
      </w:pPr>
    </w:p>
    <w:p w14:paraId="3F70613D" w14:textId="77777777" w:rsidR="00E25F7C" w:rsidRDefault="00E25F7C" w:rsidP="00E25F7C">
      <w:pPr>
        <w:spacing w:before="0"/>
        <w:rPr>
          <w:rFonts w:ascii="Arial Narrow" w:hAnsi="Arial Narrow" w:cs="Tahoma"/>
          <w:color w:val="00000A"/>
        </w:rPr>
      </w:pPr>
      <w:r>
        <w:rPr>
          <w:rFonts w:ascii="Arial Narrow" w:hAnsi="Arial Narrow" w:cs="Tahoma"/>
          <w:color w:val="00000A"/>
        </w:rPr>
        <w:t xml:space="preserve">I </w:t>
      </w:r>
      <w:proofErr w:type="spellStart"/>
      <w:r>
        <w:rPr>
          <w:rFonts w:ascii="Arial Narrow" w:hAnsi="Arial Narrow" w:cs="Tahoma"/>
          <w:color w:val="00000A"/>
        </w:rPr>
        <w:t>PcT</w:t>
      </w:r>
      <w:proofErr w:type="spellEnd"/>
      <w:r>
        <w:rPr>
          <w:rFonts w:ascii="Arial Narrow" w:hAnsi="Arial Narrow" w:cs="Tahoma"/>
          <w:color w:val="00000A"/>
        </w:rPr>
        <w:t xml:space="preserve"> si sostanziano in un’operazione garantita da titoli, in cui assume valenza sostanziale il </w:t>
      </w:r>
      <w:r w:rsidRPr="00197ACA">
        <w:rPr>
          <w:rFonts w:ascii="Arial Narrow" w:hAnsi="Arial Narrow" w:cs="Tahoma"/>
          <w:b/>
          <w:color w:val="00000A"/>
        </w:rPr>
        <w:t>tasso concordato</w:t>
      </w:r>
      <w:r>
        <w:rPr>
          <w:rFonts w:ascii="Arial Narrow" w:hAnsi="Arial Narrow" w:cs="Tahoma"/>
          <w:color w:val="00000A"/>
        </w:rPr>
        <w:t xml:space="preserve"> con il cliente. In funzione di questo sono individuati i titoli che possiedono rendimenti coerenti con le condizioni pattuite. </w:t>
      </w:r>
    </w:p>
    <w:p w14:paraId="554F25A5" w14:textId="77777777" w:rsidR="00E25F7C" w:rsidRDefault="00E25F7C" w:rsidP="00E25F7C">
      <w:pPr>
        <w:spacing w:before="0"/>
        <w:rPr>
          <w:rFonts w:ascii="Arial Narrow" w:hAnsi="Arial Narrow" w:cs="Tahoma"/>
          <w:color w:val="00000A"/>
        </w:rPr>
      </w:pPr>
      <w:r>
        <w:rPr>
          <w:rFonts w:ascii="Arial Narrow" w:hAnsi="Arial Narrow" w:cs="Tahoma"/>
          <w:color w:val="00000A"/>
        </w:rPr>
        <w:t>Per la negoziazione di ordini aventi ad oggetto operazioni di “Pronti contro Termine”, la Banca applica una metodologia interna di formazione del prezzo che prende a riferimento l’opportuna curva dei tassi di mercato, coerentemente con gli strumenti finanziari sottostanti alle operazioni.</w:t>
      </w:r>
    </w:p>
    <w:p w14:paraId="58640587" w14:textId="77777777" w:rsidR="00E25F7C" w:rsidRDefault="00E25F7C" w:rsidP="00E25F7C">
      <w:pPr>
        <w:spacing w:before="0"/>
        <w:rPr>
          <w:rFonts w:ascii="Arial Narrow" w:hAnsi="Arial Narrow" w:cs="Tahoma"/>
          <w:color w:val="00000A"/>
        </w:rPr>
      </w:pPr>
      <w:r>
        <w:rPr>
          <w:rFonts w:ascii="Arial Narrow" w:hAnsi="Arial Narrow" w:cs="Tahoma"/>
          <w:color w:val="00000A"/>
        </w:rPr>
        <w:t xml:space="preserve">I fattori di esecuzione sulla base dei quali vengono eseguiti gli ordini della clientela sono riepilogati nella seguente tabella: </w:t>
      </w:r>
    </w:p>
    <w:p w14:paraId="1034FD0A" w14:textId="77777777" w:rsidR="00E25F7C" w:rsidRPr="00E25F7C" w:rsidRDefault="00E25F7C" w:rsidP="00E25F7C">
      <w:pPr>
        <w:spacing w:before="0"/>
        <w:rPr>
          <w:rFonts w:ascii="Arial Narrow" w:hAnsi="Arial Narrow" w:cs="Tahoma"/>
          <w:b/>
          <w:color w:val="00000A"/>
        </w:rPr>
      </w:pPr>
      <w:r w:rsidRPr="00E25F7C">
        <w:rPr>
          <w:rFonts w:ascii="Arial Narrow" w:hAnsi="Arial Narrow" w:cs="Tahoma"/>
          <w:b/>
          <w:color w:val="00000A"/>
        </w:rPr>
        <w:t>Fattori di esecuzione per la negoziazione dei pronti contro termine</w:t>
      </w:r>
      <w:r>
        <w:rPr>
          <w:rFonts w:ascii="Arial Narrow" w:hAnsi="Arial Narrow" w:cs="Tahoma"/>
          <w:b/>
          <w:color w:val="00000A"/>
        </w:rPr>
        <w:t xml:space="preserve"> (PCT Passivi)</w:t>
      </w:r>
    </w:p>
    <w:tbl>
      <w:tblPr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5467"/>
        <w:gridCol w:w="4161"/>
      </w:tblGrid>
      <w:tr w:rsidR="00E25F7C" w14:paraId="073117AC" w14:textId="77777777" w:rsidTr="00E25F7C">
        <w:tc>
          <w:tcPr>
            <w:tcW w:w="283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0E0E0"/>
            <w:tcMar>
              <w:left w:w="108" w:type="dxa"/>
            </w:tcMar>
            <w:vAlign w:val="center"/>
          </w:tcPr>
          <w:p w14:paraId="5BDC18CF" w14:textId="77777777" w:rsidR="00E25F7C" w:rsidRDefault="00E25F7C" w:rsidP="008F12F7">
            <w:pPr>
              <w:spacing w:before="120" w:after="60"/>
              <w:ind w:left="72"/>
              <w:jc w:val="center"/>
              <w:rPr>
                <w:rFonts w:ascii="Arial Narrow" w:hAnsi="Arial Narrow" w:cs="Tahoma"/>
                <w:b/>
                <w:bCs/>
                <w:i/>
                <w:color w:val="00000A"/>
              </w:rPr>
            </w:pPr>
            <w:r>
              <w:rPr>
                <w:rFonts w:ascii="Arial Narrow" w:hAnsi="Arial Narrow" w:cs="Tahoma"/>
                <w:b/>
                <w:bCs/>
                <w:i/>
                <w:color w:val="00000A"/>
              </w:rPr>
              <w:t>Fattori di Esecuzione</w:t>
            </w:r>
          </w:p>
        </w:tc>
        <w:tc>
          <w:tcPr>
            <w:tcW w:w="2161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0E0E0"/>
            <w:tcMar>
              <w:left w:w="108" w:type="dxa"/>
            </w:tcMar>
            <w:vAlign w:val="center"/>
          </w:tcPr>
          <w:p w14:paraId="25B0B589" w14:textId="77777777" w:rsidR="00E25F7C" w:rsidRDefault="00E25F7C" w:rsidP="008F12F7">
            <w:pPr>
              <w:spacing w:before="120" w:after="60"/>
              <w:jc w:val="center"/>
              <w:rPr>
                <w:rFonts w:ascii="Arial Narrow" w:hAnsi="Arial Narrow" w:cs="Tahoma"/>
                <w:b/>
                <w:bCs/>
                <w:i/>
                <w:color w:val="00000A"/>
              </w:rPr>
            </w:pPr>
            <w:r>
              <w:rPr>
                <w:rFonts w:ascii="Arial Narrow" w:hAnsi="Arial Narrow" w:cs="Tahoma"/>
                <w:b/>
                <w:bCs/>
                <w:i/>
                <w:color w:val="00000A"/>
              </w:rPr>
              <w:t>Sedi di Esecuzione</w:t>
            </w:r>
          </w:p>
        </w:tc>
      </w:tr>
      <w:tr w:rsidR="00E25F7C" w14:paraId="3862A58F" w14:textId="77777777" w:rsidTr="00E25F7C">
        <w:trPr>
          <w:trHeight w:val="2550"/>
        </w:trPr>
        <w:tc>
          <w:tcPr>
            <w:tcW w:w="2839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left w:w="108" w:type="dxa"/>
            </w:tcMar>
          </w:tcPr>
          <w:p w14:paraId="0165DF3B" w14:textId="77777777" w:rsidR="00E25F7C" w:rsidRDefault="00E25F7C" w:rsidP="00E25F7C">
            <w:pPr>
              <w:numPr>
                <w:ilvl w:val="0"/>
                <w:numId w:val="5"/>
              </w:numPr>
              <w:tabs>
                <w:tab w:val="left" w:pos="252"/>
              </w:tabs>
              <w:spacing w:before="120" w:after="60"/>
              <w:ind w:left="72"/>
              <w:jc w:val="left"/>
              <w:rPr>
                <w:rFonts w:ascii="Arial Narrow" w:hAnsi="Arial Narrow" w:cs="Tahoma"/>
                <w:bCs/>
                <w:color w:val="00000A"/>
              </w:rPr>
            </w:pPr>
            <w:r>
              <w:rPr>
                <w:rFonts w:ascii="Arial Narrow" w:hAnsi="Arial Narrow" w:cs="Tahoma"/>
                <w:bCs/>
                <w:color w:val="00000A"/>
              </w:rPr>
              <w:t>Natura dell’ordine</w:t>
            </w:r>
          </w:p>
          <w:p w14:paraId="3C318152" w14:textId="77777777" w:rsidR="00E25F7C" w:rsidRDefault="00E25F7C" w:rsidP="00E25F7C">
            <w:pPr>
              <w:numPr>
                <w:ilvl w:val="0"/>
                <w:numId w:val="5"/>
              </w:numPr>
              <w:tabs>
                <w:tab w:val="left" w:pos="252"/>
              </w:tabs>
              <w:spacing w:before="120" w:after="60"/>
              <w:ind w:left="72"/>
              <w:jc w:val="left"/>
              <w:rPr>
                <w:rFonts w:ascii="Arial Narrow" w:hAnsi="Arial Narrow" w:cs="Tahoma"/>
                <w:bCs/>
                <w:color w:val="00000A"/>
              </w:rPr>
            </w:pPr>
            <w:r>
              <w:rPr>
                <w:rFonts w:ascii="Arial Narrow" w:hAnsi="Arial Narrow" w:cs="Tahoma"/>
                <w:bCs/>
                <w:color w:val="00000A"/>
              </w:rPr>
              <w:t xml:space="preserve">Probabilità di esecuzione </w:t>
            </w:r>
          </w:p>
          <w:p w14:paraId="523B0B0B" w14:textId="77777777" w:rsidR="00E25F7C" w:rsidRDefault="00E25F7C" w:rsidP="00E25F7C">
            <w:pPr>
              <w:numPr>
                <w:ilvl w:val="0"/>
                <w:numId w:val="5"/>
              </w:numPr>
              <w:tabs>
                <w:tab w:val="left" w:pos="252"/>
              </w:tabs>
              <w:spacing w:before="120" w:after="60"/>
              <w:ind w:left="72"/>
              <w:jc w:val="left"/>
              <w:rPr>
                <w:rFonts w:ascii="Arial Narrow" w:hAnsi="Arial Narrow" w:cs="Tahoma"/>
                <w:bCs/>
                <w:color w:val="00000A"/>
              </w:rPr>
            </w:pPr>
            <w:r>
              <w:rPr>
                <w:rFonts w:ascii="Arial Narrow" w:hAnsi="Arial Narrow" w:cs="Tahoma"/>
                <w:bCs/>
                <w:color w:val="00000A"/>
              </w:rPr>
              <w:t>Velocità di esecuzione</w:t>
            </w:r>
          </w:p>
          <w:p w14:paraId="3E238BA6" w14:textId="77777777" w:rsidR="00E25F7C" w:rsidRDefault="00E25F7C" w:rsidP="00E25F7C">
            <w:pPr>
              <w:numPr>
                <w:ilvl w:val="0"/>
                <w:numId w:val="5"/>
              </w:numPr>
              <w:tabs>
                <w:tab w:val="left" w:pos="252"/>
              </w:tabs>
              <w:spacing w:before="120" w:after="60"/>
              <w:ind w:left="72"/>
              <w:jc w:val="left"/>
              <w:rPr>
                <w:rFonts w:ascii="Arial Narrow" w:hAnsi="Arial Narrow" w:cs="Tahoma"/>
                <w:bCs/>
                <w:color w:val="00000A"/>
              </w:rPr>
            </w:pPr>
            <w:r>
              <w:rPr>
                <w:rFonts w:ascii="Arial Narrow" w:hAnsi="Arial Narrow" w:cs="Tahoma"/>
                <w:bCs/>
                <w:color w:val="00000A"/>
              </w:rPr>
              <w:t>Probabilità di regolamento</w:t>
            </w:r>
          </w:p>
          <w:p w14:paraId="74B1334C" w14:textId="77777777" w:rsidR="00E25F7C" w:rsidRDefault="00E25F7C" w:rsidP="00E25F7C">
            <w:pPr>
              <w:numPr>
                <w:ilvl w:val="0"/>
                <w:numId w:val="5"/>
              </w:numPr>
              <w:tabs>
                <w:tab w:val="left" w:pos="252"/>
              </w:tabs>
              <w:spacing w:before="120" w:after="60"/>
              <w:ind w:left="72"/>
              <w:jc w:val="left"/>
              <w:rPr>
                <w:rFonts w:ascii="Arial Narrow" w:hAnsi="Arial Narrow" w:cs="Tahoma"/>
                <w:bCs/>
                <w:color w:val="00000A"/>
              </w:rPr>
            </w:pPr>
            <w:r>
              <w:rPr>
                <w:rFonts w:ascii="Arial Narrow" w:hAnsi="Arial Narrow" w:cs="Tahoma"/>
                <w:bCs/>
                <w:color w:val="00000A"/>
              </w:rPr>
              <w:t>Corrispettivo totale</w:t>
            </w:r>
          </w:p>
          <w:p w14:paraId="4D09DC33" w14:textId="77777777" w:rsidR="00E25F7C" w:rsidRDefault="00E25F7C" w:rsidP="00E25F7C">
            <w:pPr>
              <w:numPr>
                <w:ilvl w:val="0"/>
                <w:numId w:val="5"/>
              </w:numPr>
              <w:tabs>
                <w:tab w:val="left" w:pos="252"/>
              </w:tabs>
              <w:spacing w:before="120" w:after="60"/>
              <w:ind w:left="72"/>
              <w:jc w:val="left"/>
              <w:rPr>
                <w:rFonts w:ascii="Arial Narrow" w:hAnsi="Arial Narrow" w:cs="Tahoma"/>
                <w:bCs/>
                <w:color w:val="00000A"/>
              </w:rPr>
            </w:pPr>
            <w:r>
              <w:rPr>
                <w:rFonts w:ascii="Arial Narrow" w:hAnsi="Arial Narrow" w:cs="Tahoma"/>
                <w:bCs/>
                <w:color w:val="00000A"/>
              </w:rPr>
              <w:t>Dimensione dell’ordine</w:t>
            </w:r>
          </w:p>
        </w:tc>
        <w:tc>
          <w:tcPr>
            <w:tcW w:w="2161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left w:w="108" w:type="dxa"/>
            </w:tcMar>
          </w:tcPr>
          <w:p w14:paraId="0E517875" w14:textId="77777777" w:rsidR="00E25F7C" w:rsidRDefault="00E25F7C" w:rsidP="008F12F7">
            <w:pPr>
              <w:tabs>
                <w:tab w:val="left" w:pos="1080"/>
              </w:tabs>
              <w:spacing w:before="120" w:after="60"/>
              <w:ind w:left="-900"/>
              <w:jc w:val="center"/>
              <w:rPr>
                <w:rFonts w:ascii="Arial Narrow" w:hAnsi="Arial Narrow" w:cs="Tahoma"/>
                <w:b/>
                <w:bCs/>
                <w:color w:val="00000A"/>
              </w:rPr>
            </w:pPr>
          </w:p>
          <w:p w14:paraId="6686D181" w14:textId="77777777" w:rsidR="00E25F7C" w:rsidRDefault="00E25F7C" w:rsidP="008F12F7">
            <w:pPr>
              <w:tabs>
                <w:tab w:val="left" w:pos="1080"/>
              </w:tabs>
              <w:spacing w:before="120" w:after="60"/>
              <w:ind w:left="71"/>
              <w:jc w:val="center"/>
              <w:rPr>
                <w:rFonts w:ascii="Arial Narrow" w:hAnsi="Arial Narrow" w:cs="Tahoma"/>
                <w:bCs/>
                <w:color w:val="00000A"/>
              </w:rPr>
            </w:pPr>
            <w:r>
              <w:rPr>
                <w:rFonts w:ascii="Arial Narrow" w:hAnsi="Arial Narrow" w:cs="Tahoma"/>
                <w:bCs/>
                <w:color w:val="00000A"/>
              </w:rPr>
              <w:t xml:space="preserve">BCC di </w:t>
            </w:r>
            <w:r w:rsidR="00685FD7">
              <w:rPr>
                <w:rFonts w:ascii="Arial Narrow" w:hAnsi="Arial Narrow" w:cs="Tahoma"/>
                <w:bCs/>
                <w:color w:val="00000A"/>
              </w:rPr>
              <w:t>Ostra Vetere</w:t>
            </w:r>
            <w:r>
              <w:rPr>
                <w:rFonts w:ascii="Arial Narrow" w:hAnsi="Arial Narrow" w:cs="Tahoma"/>
                <w:bCs/>
                <w:color w:val="00000A"/>
              </w:rPr>
              <w:t xml:space="preserve"> in conto proprio</w:t>
            </w:r>
          </w:p>
          <w:p w14:paraId="5D203A1F" w14:textId="77777777" w:rsidR="00E25F7C" w:rsidRDefault="00E25F7C" w:rsidP="008F12F7">
            <w:pPr>
              <w:spacing w:before="120" w:after="60"/>
              <w:ind w:left="-900"/>
              <w:rPr>
                <w:rFonts w:ascii="Arial Narrow" w:hAnsi="Arial Narrow" w:cs="Tahoma"/>
                <w:bCs/>
                <w:color w:val="00000A"/>
              </w:rPr>
            </w:pPr>
          </w:p>
        </w:tc>
      </w:tr>
    </w:tbl>
    <w:p w14:paraId="3B7620D0" w14:textId="77777777" w:rsidR="00E25F7C" w:rsidRDefault="00E25F7C" w:rsidP="00E25F7C">
      <w:pPr>
        <w:spacing w:before="0"/>
        <w:rPr>
          <w:rFonts w:ascii="Arial Narrow" w:hAnsi="Arial Narrow" w:cs="Tahoma"/>
          <w:color w:val="00000A"/>
        </w:rPr>
      </w:pPr>
      <w:r>
        <w:rPr>
          <w:rFonts w:ascii="Arial Narrow" w:hAnsi="Arial Narrow" w:cs="Tahoma"/>
          <w:color w:val="00000A"/>
        </w:rPr>
        <w:t>La gerarchia dei fattori di esecuzione indicata è stata definita nel rispetto di quanto richiesto dalla normativa, in deroga al principio che prevede di attribuire per la clientela al dettaglio primaria importanza al corrispettivo totale (</w:t>
      </w:r>
      <w:proofErr w:type="spellStart"/>
      <w:r>
        <w:rPr>
          <w:rFonts w:ascii="Arial Narrow" w:hAnsi="Arial Narrow" w:cs="Tahoma"/>
          <w:i/>
          <w:color w:val="00000A"/>
        </w:rPr>
        <w:t>total</w:t>
      </w:r>
      <w:proofErr w:type="spellEnd"/>
      <w:r>
        <w:rPr>
          <w:rFonts w:ascii="Arial Narrow" w:hAnsi="Arial Narrow" w:cs="Tahoma"/>
          <w:i/>
          <w:color w:val="00000A"/>
        </w:rPr>
        <w:t xml:space="preserve"> </w:t>
      </w:r>
      <w:proofErr w:type="spellStart"/>
      <w:r>
        <w:rPr>
          <w:rFonts w:ascii="Arial Narrow" w:hAnsi="Arial Narrow" w:cs="Tahoma"/>
          <w:i/>
          <w:color w:val="00000A"/>
        </w:rPr>
        <w:t>consideration</w:t>
      </w:r>
      <w:proofErr w:type="spellEnd"/>
      <w:r>
        <w:rPr>
          <w:rFonts w:ascii="Arial Narrow" w:hAnsi="Arial Narrow" w:cs="Tahoma"/>
          <w:color w:val="00000A"/>
        </w:rPr>
        <w:t xml:space="preserve">). Secondo tale deroga, infatti, è fatta salva la possibilità di assegnare maggiore importanza ad altri fattori di esecuzione rispetto alla somma di prezzo e costi, laddove questa maggior importanza attribuita sia necessaria per </w:t>
      </w:r>
      <w:r w:rsidRPr="00197ACA">
        <w:rPr>
          <w:rFonts w:ascii="Arial Narrow" w:hAnsi="Arial Narrow" w:cs="Tahoma"/>
          <w:b/>
          <w:color w:val="00000A"/>
        </w:rPr>
        <w:t>fornire il miglior risultato possibile per il cliente</w:t>
      </w:r>
      <w:r>
        <w:rPr>
          <w:rFonts w:ascii="Arial Narrow" w:hAnsi="Arial Narrow" w:cs="Tahoma"/>
          <w:color w:val="00000A"/>
        </w:rPr>
        <w:t>.</w:t>
      </w:r>
    </w:p>
    <w:p w14:paraId="3DD59870" w14:textId="77777777" w:rsidR="00214B51" w:rsidRPr="00683B2D" w:rsidRDefault="00214B51" w:rsidP="001A7FEC">
      <w:pPr>
        <w:spacing w:before="0"/>
        <w:rPr>
          <w:rFonts w:ascii="Arial Narrow" w:hAnsi="Arial Narrow" w:cs="Arial"/>
          <w:color w:val="00000A"/>
        </w:rPr>
      </w:pPr>
    </w:p>
    <w:sectPr w:rsidR="00214B51" w:rsidRPr="00683B2D" w:rsidSect="00F467ED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12BC4" w14:textId="77777777" w:rsidR="00F467ED" w:rsidRDefault="00F467ED" w:rsidP="00F467ED">
      <w:pPr>
        <w:spacing w:before="0"/>
      </w:pPr>
      <w:r>
        <w:separator/>
      </w:r>
    </w:p>
  </w:endnote>
  <w:endnote w:type="continuationSeparator" w:id="0">
    <w:p w14:paraId="05030268" w14:textId="77777777" w:rsidR="00F467ED" w:rsidRDefault="00F467ED" w:rsidP="00F467E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DAA898" w14:textId="77777777" w:rsidR="00F467ED" w:rsidRDefault="00F467ED" w:rsidP="00F467ED">
      <w:pPr>
        <w:spacing w:before="0"/>
      </w:pPr>
      <w:r>
        <w:separator/>
      </w:r>
    </w:p>
  </w:footnote>
  <w:footnote w:type="continuationSeparator" w:id="0">
    <w:p w14:paraId="08AB5802" w14:textId="77777777" w:rsidR="00F467ED" w:rsidRDefault="00F467ED" w:rsidP="00F467E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030AC"/>
    <w:multiLevelType w:val="hybridMultilevel"/>
    <w:tmpl w:val="2416E158"/>
    <w:lvl w:ilvl="0" w:tplc="5DE4606A">
      <w:start w:val="1"/>
      <w:numFmt w:val="upperLetter"/>
      <w:lvlText w:val="(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965542"/>
    <w:multiLevelType w:val="hybridMultilevel"/>
    <w:tmpl w:val="E4A67304"/>
    <w:lvl w:ilvl="0" w:tplc="14DA709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184FF7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2" w:tplc="AAE0DD4E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 w:val="0"/>
        <w:i w:val="0"/>
      </w:rPr>
    </w:lvl>
    <w:lvl w:ilvl="3" w:tplc="C2223238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10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14BE734A"/>
    <w:multiLevelType w:val="multilevel"/>
    <w:tmpl w:val="3CF2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8E54AC"/>
    <w:multiLevelType w:val="multilevel"/>
    <w:tmpl w:val="483EDA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D64664E"/>
    <w:multiLevelType w:val="multilevel"/>
    <w:tmpl w:val="2E528DBA"/>
    <w:lvl w:ilvl="0">
      <w:start w:val="1"/>
      <w:numFmt w:val="bullet"/>
      <w:lvlText w:val=""/>
      <w:lvlJc w:val="left"/>
      <w:pPr>
        <w:ind w:left="-18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DD416BE"/>
    <w:multiLevelType w:val="hybridMultilevel"/>
    <w:tmpl w:val="6BAABFE0"/>
    <w:lvl w:ilvl="0" w:tplc="0410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 w15:restartNumberingAfterBreak="0">
    <w:nsid w:val="5B464FF4"/>
    <w:multiLevelType w:val="multilevel"/>
    <w:tmpl w:val="0D34CF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72367B7"/>
    <w:multiLevelType w:val="multilevel"/>
    <w:tmpl w:val="332C7B7E"/>
    <w:lvl w:ilvl="0">
      <w:start w:val="1"/>
      <w:numFmt w:val="decimal"/>
      <w:lvlText w:val=""/>
      <w:lvlJc w:val="left"/>
      <w:pPr>
        <w:tabs>
          <w:tab w:val="num" w:pos="432"/>
        </w:tabs>
        <w:ind w:left="432" w:hanging="432"/>
      </w:pPr>
      <w:rPr>
        <w:bCs w:val="0"/>
        <w:iCs w:val="0"/>
        <w:caps w:val="0"/>
        <w:smallCaps w:val="0"/>
        <w:strike w:val="0"/>
        <w:dstrike w:val="0"/>
        <w:vanish w:val="0"/>
        <w:color w:val="00000A"/>
        <w:spacing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A"/>
        <w:spacing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A"/>
        <w:spacing w:val="0"/>
        <w:position w:val="0"/>
        <w:sz w:val="26"/>
        <w:szCs w:val="26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bCs w:val="0"/>
        <w:iCs w:val="0"/>
        <w:caps w:val="0"/>
        <w:smallCaps w:val="0"/>
        <w:strike w:val="0"/>
        <w:dstrike w:val="0"/>
        <w:vanish w:val="0"/>
        <w:color w:val="00000A"/>
        <w:spacing w:val="0"/>
        <w:w w:val="100"/>
        <w:position w:val="0"/>
        <w:sz w:val="20"/>
        <w:szCs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7044263B"/>
    <w:multiLevelType w:val="hybridMultilevel"/>
    <w:tmpl w:val="F8243A8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80004A"/>
    <w:multiLevelType w:val="hybridMultilevel"/>
    <w:tmpl w:val="803E5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CF5"/>
    <w:rsid w:val="00080C3A"/>
    <w:rsid w:val="00085935"/>
    <w:rsid w:val="000C7B1D"/>
    <w:rsid w:val="001104D4"/>
    <w:rsid w:val="0017283F"/>
    <w:rsid w:val="0019197A"/>
    <w:rsid w:val="00197ACA"/>
    <w:rsid w:val="001A7FEC"/>
    <w:rsid w:val="001B0F1E"/>
    <w:rsid w:val="001E590F"/>
    <w:rsid w:val="001F7491"/>
    <w:rsid w:val="00214B51"/>
    <w:rsid w:val="002646DA"/>
    <w:rsid w:val="002E2C17"/>
    <w:rsid w:val="00386B9B"/>
    <w:rsid w:val="00393635"/>
    <w:rsid w:val="003A76F9"/>
    <w:rsid w:val="003B4581"/>
    <w:rsid w:val="003B791B"/>
    <w:rsid w:val="003C66F8"/>
    <w:rsid w:val="003D5F70"/>
    <w:rsid w:val="003F57B8"/>
    <w:rsid w:val="00401D09"/>
    <w:rsid w:val="004066E7"/>
    <w:rsid w:val="0041015A"/>
    <w:rsid w:val="00412BE9"/>
    <w:rsid w:val="0045274F"/>
    <w:rsid w:val="0047509A"/>
    <w:rsid w:val="004837A5"/>
    <w:rsid w:val="00502D56"/>
    <w:rsid w:val="00532B71"/>
    <w:rsid w:val="00593A64"/>
    <w:rsid w:val="005B5157"/>
    <w:rsid w:val="00675948"/>
    <w:rsid w:val="00683B2D"/>
    <w:rsid w:val="00685FD7"/>
    <w:rsid w:val="006C361A"/>
    <w:rsid w:val="006C63C4"/>
    <w:rsid w:val="006E7362"/>
    <w:rsid w:val="007233A2"/>
    <w:rsid w:val="00756521"/>
    <w:rsid w:val="007C6339"/>
    <w:rsid w:val="008042B6"/>
    <w:rsid w:val="00804FD5"/>
    <w:rsid w:val="0083115A"/>
    <w:rsid w:val="00841B76"/>
    <w:rsid w:val="00841F32"/>
    <w:rsid w:val="0087471F"/>
    <w:rsid w:val="008B4248"/>
    <w:rsid w:val="008F12F7"/>
    <w:rsid w:val="00901F1E"/>
    <w:rsid w:val="00954ADA"/>
    <w:rsid w:val="00986547"/>
    <w:rsid w:val="00986BBF"/>
    <w:rsid w:val="009C7AAE"/>
    <w:rsid w:val="00A15052"/>
    <w:rsid w:val="00A32377"/>
    <w:rsid w:val="00A46FC8"/>
    <w:rsid w:val="00A66149"/>
    <w:rsid w:val="00A97368"/>
    <w:rsid w:val="00AA27D4"/>
    <w:rsid w:val="00AC44F7"/>
    <w:rsid w:val="00AD5064"/>
    <w:rsid w:val="00AE074A"/>
    <w:rsid w:val="00B40F77"/>
    <w:rsid w:val="00B57D63"/>
    <w:rsid w:val="00B83109"/>
    <w:rsid w:val="00B840DE"/>
    <w:rsid w:val="00B96CF5"/>
    <w:rsid w:val="00BA5D81"/>
    <w:rsid w:val="00BD6A9D"/>
    <w:rsid w:val="00C0368A"/>
    <w:rsid w:val="00C13771"/>
    <w:rsid w:val="00C2023D"/>
    <w:rsid w:val="00CC0ABD"/>
    <w:rsid w:val="00CE493C"/>
    <w:rsid w:val="00CF6F13"/>
    <w:rsid w:val="00D339DA"/>
    <w:rsid w:val="00DC22AF"/>
    <w:rsid w:val="00DE3663"/>
    <w:rsid w:val="00E06A9E"/>
    <w:rsid w:val="00E25F7C"/>
    <w:rsid w:val="00E5068F"/>
    <w:rsid w:val="00E55790"/>
    <w:rsid w:val="00E62876"/>
    <w:rsid w:val="00E751D8"/>
    <w:rsid w:val="00E84508"/>
    <w:rsid w:val="00EF4172"/>
    <w:rsid w:val="00F35318"/>
    <w:rsid w:val="00F467ED"/>
    <w:rsid w:val="00F86C20"/>
    <w:rsid w:val="00FD505B"/>
    <w:rsid w:val="00FE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13D8472"/>
  <w15:docId w15:val="{9356B455-BF15-4BF4-A486-95590816D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96CF5"/>
    <w:pPr>
      <w:suppressAutoHyphens/>
      <w:spacing w:before="160"/>
      <w:jc w:val="both"/>
    </w:pPr>
    <w:rPr>
      <w:rFonts w:ascii="Garamond" w:eastAsia="Times New Roman" w:hAnsi="Garamond" w:cs="Times New Roman"/>
      <w:color w:val="0F243E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E1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683B2D"/>
    <w:pPr>
      <w:keepNext/>
      <w:tabs>
        <w:tab w:val="num" w:pos="576"/>
      </w:tabs>
      <w:spacing w:before="360" w:after="120"/>
      <w:ind w:left="576" w:hanging="576"/>
      <w:outlineLvl w:val="1"/>
    </w:pPr>
    <w:rPr>
      <w:rFonts w:ascii="Arial Narrow" w:hAnsi="Arial Narrow" w:cs="Arial"/>
      <w:b/>
      <w:bCs/>
      <w:iCs/>
      <w:color w:val="00000A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683B2D"/>
    <w:pPr>
      <w:keepNext/>
      <w:tabs>
        <w:tab w:val="num" w:pos="720"/>
      </w:tabs>
      <w:spacing w:before="240" w:after="60"/>
      <w:ind w:left="720" w:hanging="720"/>
      <w:jc w:val="left"/>
      <w:outlineLvl w:val="2"/>
    </w:pPr>
    <w:rPr>
      <w:rFonts w:cs="Arial"/>
      <w:b/>
      <w:bCs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104D4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683B2D"/>
    <w:rPr>
      <w:rFonts w:ascii="Arial Narrow" w:eastAsia="Times New Roman" w:hAnsi="Arial Narrow" w:cs="Arial"/>
      <w:b/>
      <w:bCs/>
      <w:iCs/>
      <w:color w:val="00000A"/>
      <w:sz w:val="24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683B2D"/>
    <w:rPr>
      <w:rFonts w:ascii="Garamond" w:eastAsia="Times New Roman" w:hAnsi="Garamond" w:cs="Arial"/>
      <w:b/>
      <w:bCs/>
      <w:color w:val="0F243E"/>
      <w:sz w:val="24"/>
      <w:szCs w:val="26"/>
      <w:lang w:eastAsia="it-IT"/>
    </w:rPr>
  </w:style>
  <w:style w:type="paragraph" w:styleId="Intestazione">
    <w:name w:val="header"/>
    <w:basedOn w:val="Normale"/>
    <w:link w:val="IntestazioneCarattere"/>
    <w:rsid w:val="00683B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683B2D"/>
    <w:rPr>
      <w:rFonts w:ascii="Garamond" w:eastAsia="Times New Roman" w:hAnsi="Garamond" w:cs="Times New Roman"/>
      <w:color w:val="0F243E"/>
      <w:sz w:val="24"/>
      <w:szCs w:val="24"/>
      <w:lang w:eastAsia="it-IT"/>
    </w:rPr>
  </w:style>
  <w:style w:type="paragraph" w:customStyle="1" w:styleId="Default">
    <w:name w:val="Default"/>
    <w:rsid w:val="00683B2D"/>
    <w:pPr>
      <w:suppressAutoHyphens/>
    </w:pPr>
    <w:rPr>
      <w:rFonts w:ascii="Arial" w:eastAsia="Times New Roman" w:hAnsi="Arial" w:cs="Arial"/>
      <w:color w:val="000000"/>
      <w:sz w:val="24"/>
      <w:szCs w:val="24"/>
      <w:lang w:eastAsia="ko-KR"/>
    </w:rPr>
  </w:style>
  <w:style w:type="paragraph" w:customStyle="1" w:styleId="Frontpage1">
    <w:name w:val="Front page 1"/>
    <w:basedOn w:val="Normale"/>
    <w:rsid w:val="00683B2D"/>
    <w:pPr>
      <w:widowControl w:val="0"/>
      <w:tabs>
        <w:tab w:val="left" w:pos="1134"/>
        <w:tab w:val="left" w:pos="3402"/>
        <w:tab w:val="left" w:pos="3686"/>
      </w:tabs>
      <w:spacing w:before="0" w:after="120"/>
    </w:pPr>
    <w:rPr>
      <w:rFonts w:ascii="Book Antiqua" w:hAnsi="Book Antiqua"/>
      <w:color w:val="00000A"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E1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02D56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02D56"/>
    <w:rPr>
      <w:rFonts w:ascii="Tahoma" w:eastAsia="Times New Roman" w:hAnsi="Tahoma" w:cs="Tahoma"/>
      <w:color w:val="0F243E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467ED"/>
    <w:pPr>
      <w:tabs>
        <w:tab w:val="center" w:pos="4819"/>
        <w:tab w:val="right" w:pos="9638"/>
      </w:tabs>
      <w:spacing w:before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467ED"/>
    <w:rPr>
      <w:rFonts w:ascii="Garamond" w:eastAsia="Times New Roman" w:hAnsi="Garamond" w:cs="Times New Roman"/>
      <w:color w:val="0F243E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9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C82B0-215D-48EA-AD3B-811CC1C4E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1581</Words>
  <Characters>9016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salciccia.a</dc:creator>
  <cp:lastModifiedBy>Danilo Mazzarini</cp:lastModifiedBy>
  <cp:revision>4</cp:revision>
  <cp:lastPrinted>2020-05-05T10:11:00Z</cp:lastPrinted>
  <dcterms:created xsi:type="dcterms:W3CDTF">2022-04-20T10:52:00Z</dcterms:created>
  <dcterms:modified xsi:type="dcterms:W3CDTF">2022-04-20T13:29:00Z</dcterms:modified>
</cp:coreProperties>
</file>